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宋体" w:hAnsi="宋体" w:eastAsia="宋体" w:cs="宋体"/>
          <w:i w:val="0"/>
          <w:iCs w:val="0"/>
          <w:caps w:val="0"/>
          <w:color w:val="auto"/>
          <w:spacing w:val="0"/>
          <w:sz w:val="44"/>
          <w:szCs w:val="44"/>
          <w:shd w:val="clear" w:color="auto" w:fill="FFFFFF"/>
          <w:lang w:val="en-US" w:eastAsia="zh-CN"/>
        </w:rPr>
      </w:pPr>
      <w:bookmarkStart w:id="0" w:name="_GoBack"/>
      <w:bookmarkEnd w:id="0"/>
    </w:p>
    <w:p>
      <w:pPr>
        <w:ind w:firstLine="880" w:firstLineChars="200"/>
        <w:rPr>
          <w:rFonts w:hint="eastAsia" w:ascii="宋体" w:hAnsi="宋体" w:eastAsia="宋体" w:cs="宋体"/>
          <w:b/>
          <w:bCs/>
          <w:i w:val="0"/>
          <w:iCs w:val="0"/>
          <w:caps w:val="0"/>
          <w:color w:val="auto"/>
          <w:spacing w:val="0"/>
          <w:sz w:val="44"/>
          <w:szCs w:val="44"/>
          <w:shd w:val="clear" w:color="auto" w:fill="FFFFFF"/>
          <w:lang w:val="en-US" w:eastAsia="zh-CN"/>
        </w:rPr>
      </w:pPr>
      <w:r>
        <w:rPr>
          <w:rFonts w:hint="eastAsia" w:ascii="宋体" w:hAnsi="宋体" w:eastAsia="宋体" w:cs="宋体"/>
          <w:b/>
          <w:bCs/>
          <w:i w:val="0"/>
          <w:iCs w:val="0"/>
          <w:caps w:val="0"/>
          <w:color w:val="auto"/>
          <w:spacing w:val="0"/>
          <w:sz w:val="44"/>
          <w:szCs w:val="44"/>
          <w:shd w:val="clear" w:color="auto" w:fill="FFFFFF"/>
          <w:lang w:val="en-US" w:eastAsia="zh-CN"/>
        </w:rPr>
        <w:t>山东省建筑安全与设备管理协会</w:t>
      </w:r>
    </w:p>
    <w:p>
      <w:pPr>
        <w:ind w:firstLine="2640" w:firstLineChars="600"/>
        <w:rPr>
          <w:rFonts w:hint="eastAsia" w:ascii="宋体" w:hAnsi="宋体" w:eastAsia="宋体" w:cs="宋体"/>
          <w:b/>
          <w:bCs/>
          <w:i w:val="0"/>
          <w:iCs w:val="0"/>
          <w:caps w:val="0"/>
          <w:color w:val="auto"/>
          <w:spacing w:val="0"/>
          <w:sz w:val="44"/>
          <w:szCs w:val="44"/>
          <w:shd w:val="clear" w:color="auto" w:fill="FFFFFF"/>
          <w:lang w:val="en-US" w:eastAsia="zh-CN"/>
        </w:rPr>
      </w:pPr>
      <w:r>
        <w:rPr>
          <w:rFonts w:hint="eastAsia" w:ascii="宋体" w:hAnsi="宋体" w:eastAsia="宋体" w:cs="宋体"/>
          <w:b/>
          <w:bCs/>
          <w:i w:val="0"/>
          <w:iCs w:val="0"/>
          <w:caps w:val="0"/>
          <w:color w:val="auto"/>
          <w:spacing w:val="0"/>
          <w:sz w:val="44"/>
          <w:szCs w:val="44"/>
          <w:shd w:val="clear" w:color="auto" w:fill="FFFFFF"/>
          <w:lang w:val="en-US" w:eastAsia="zh-CN"/>
        </w:rPr>
        <w:t>会员管理办法</w:t>
      </w:r>
    </w:p>
    <w:p>
      <w:pPr>
        <w:ind w:firstLine="3000" w:firstLineChars="1000"/>
        <w:rPr>
          <w:rFonts w:hint="eastAsia" w:ascii="仿宋" w:hAnsi="仿宋" w:eastAsia="仿宋" w:cs="仿宋"/>
          <w:i w:val="0"/>
          <w:iCs w:val="0"/>
          <w:caps w:val="0"/>
          <w:color w:val="auto"/>
          <w:spacing w:val="0"/>
          <w:sz w:val="30"/>
          <w:szCs w:val="30"/>
          <w:shd w:val="clear" w:color="auto" w:fill="FFFFFF"/>
          <w:lang w:val="en-US" w:eastAsia="zh-CN"/>
        </w:rPr>
      </w:pPr>
    </w:p>
    <w:p>
      <w:pPr>
        <w:ind w:firstLine="3000" w:firstLineChars="10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b/>
          <w:bCs/>
          <w:i w:val="0"/>
          <w:iCs w:val="0"/>
          <w:caps w:val="0"/>
          <w:color w:val="auto"/>
          <w:spacing w:val="0"/>
          <w:sz w:val="30"/>
          <w:szCs w:val="30"/>
          <w:shd w:val="clear" w:color="auto" w:fill="FFFFFF"/>
          <w:lang w:val="en-US" w:eastAsia="zh-CN"/>
        </w:rPr>
        <w:t>第一章 总则</w:t>
      </w:r>
    </w:p>
    <w:p>
      <w:pPr>
        <w:numPr>
          <w:ilvl w:val="0"/>
          <w:numId w:val="2"/>
        </w:numPr>
        <w:ind w:left="-390" w:leftChars="0" w:firstLine="600" w:firstLineChars="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 xml:space="preserve"> 为规范山东省建筑安全与设备管理协会（以下简称“本会”）会员管理，维护会员的合法权益，提高会员服务水平，根据《山东省建筑安全与设备管理协会章程》有关规定，制定本办法。</w:t>
      </w:r>
    </w:p>
    <w:p>
      <w:pPr>
        <w:numPr>
          <w:ilvl w:val="0"/>
          <w:numId w:val="2"/>
        </w:numPr>
        <w:ind w:left="-390" w:leftChars="0" w:firstLine="600" w:firstLineChars="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在本省从事建筑施工、工程机械制造、安装、租赁、检测、</w:t>
      </w:r>
      <w:r>
        <w:rPr>
          <w:rFonts w:hint="eastAsia" w:ascii="仿宋" w:hAnsi="仿宋" w:eastAsia="仿宋" w:cs="仿宋"/>
          <w:i w:val="0"/>
          <w:iCs w:val="0"/>
          <w:caps w:val="0"/>
          <w:color w:val="auto"/>
          <w:spacing w:val="0"/>
          <w:sz w:val="30"/>
          <w:szCs w:val="30"/>
          <w:shd w:val="clear" w:color="auto" w:fill="FFFFFF"/>
        </w:rPr>
        <w:t>检验</w:t>
      </w:r>
      <w:r>
        <w:rPr>
          <w:rFonts w:hint="eastAsia" w:ascii="仿宋" w:hAnsi="仿宋" w:eastAsia="仿宋" w:cs="仿宋"/>
          <w:i w:val="0"/>
          <w:iCs w:val="0"/>
          <w:caps w:val="0"/>
          <w:color w:val="auto"/>
          <w:spacing w:val="0"/>
          <w:sz w:val="30"/>
          <w:szCs w:val="30"/>
          <w:shd w:val="clear" w:color="auto" w:fill="FFFFFF"/>
          <w:lang w:val="en-US" w:eastAsia="zh-CN"/>
        </w:rPr>
        <w:t>、</w:t>
      </w:r>
      <w:r>
        <w:rPr>
          <w:rFonts w:hint="eastAsia" w:ascii="仿宋" w:hAnsi="仿宋" w:eastAsia="仿宋" w:cs="仿宋"/>
          <w:i w:val="0"/>
          <w:iCs w:val="0"/>
          <w:caps w:val="0"/>
          <w:color w:val="auto"/>
          <w:spacing w:val="0"/>
          <w:sz w:val="30"/>
          <w:szCs w:val="30"/>
          <w:shd w:val="clear" w:color="auto" w:fill="FFFFFF"/>
        </w:rPr>
        <w:t>安全评价、认证</w:t>
      </w:r>
      <w:r>
        <w:rPr>
          <w:rFonts w:hint="eastAsia" w:ascii="仿宋" w:hAnsi="仿宋" w:eastAsia="仿宋" w:cs="仿宋"/>
          <w:i w:val="0"/>
          <w:iCs w:val="0"/>
          <w:caps w:val="0"/>
          <w:color w:val="auto"/>
          <w:spacing w:val="0"/>
          <w:sz w:val="30"/>
          <w:szCs w:val="30"/>
          <w:shd w:val="clear" w:color="auto" w:fill="FFFFFF"/>
          <w:lang w:eastAsia="zh-CN"/>
        </w:rPr>
        <w:t>、</w:t>
      </w:r>
      <w:r>
        <w:rPr>
          <w:rFonts w:hint="eastAsia" w:ascii="仿宋" w:hAnsi="仿宋" w:eastAsia="仿宋" w:cs="仿宋"/>
          <w:i w:val="0"/>
          <w:iCs w:val="0"/>
          <w:caps w:val="0"/>
          <w:color w:val="auto"/>
          <w:spacing w:val="0"/>
          <w:sz w:val="30"/>
          <w:szCs w:val="30"/>
          <w:shd w:val="clear" w:color="auto" w:fill="FFFFFF"/>
          <w:lang w:val="en-US" w:eastAsia="zh-CN"/>
        </w:rPr>
        <w:t>建筑施工安全防护用具及机械设备制造的企业、智慧工地服务商以及相关科研、教育、培训等机构申请加入协会执行本办法。</w:t>
      </w:r>
    </w:p>
    <w:p>
      <w:pPr>
        <w:ind w:firstLine="3000" w:firstLineChars="1000"/>
        <w:rPr>
          <w:rFonts w:hint="eastAsia" w:ascii="仿宋" w:hAnsi="仿宋" w:eastAsia="仿宋" w:cs="仿宋"/>
          <w:i w:val="0"/>
          <w:iCs w:val="0"/>
          <w:caps w:val="0"/>
          <w:color w:val="auto"/>
          <w:spacing w:val="0"/>
          <w:sz w:val="30"/>
          <w:szCs w:val="30"/>
          <w:shd w:val="clear" w:color="auto"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　</w:t>
      </w:r>
      <w:r>
        <w:rPr>
          <w:rFonts w:hint="eastAsia" w:ascii="仿宋" w:hAnsi="仿宋" w:eastAsia="仿宋" w:cs="仿宋"/>
          <w:b/>
          <w:bCs/>
          <w:i w:val="0"/>
          <w:iCs w:val="0"/>
          <w:caps w:val="0"/>
          <w:color w:val="auto"/>
          <w:spacing w:val="0"/>
          <w:sz w:val="30"/>
          <w:szCs w:val="30"/>
          <w:shd w:val="clear" w:color="auto" w:fill="FFFFFF"/>
          <w:lang w:val="en-US" w:eastAsia="zh-CN"/>
        </w:rPr>
        <w:t>第二章会籍管理</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第三条 本会的会员为单位会员。</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第四条 加入本会的条件：</w:t>
      </w:r>
    </w:p>
    <w:p>
      <w:pPr>
        <w:spacing w:line="240" w:lineRule="auto"/>
        <w:ind w:firstLine="6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（一）拥护本会的章程</w:t>
      </w:r>
    </w:p>
    <w:p>
      <w:pPr>
        <w:spacing w:line="240" w:lineRule="auto"/>
        <w:ind w:firstLine="6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）执行本</w:t>
      </w:r>
      <w:r>
        <w:rPr>
          <w:rFonts w:hint="eastAsia" w:ascii="仿宋" w:hAnsi="仿宋" w:eastAsia="仿宋" w:cs="仿宋"/>
          <w:color w:val="auto"/>
          <w:sz w:val="30"/>
          <w:szCs w:val="30"/>
          <w:lang w:val="en-US" w:eastAsia="zh-CN"/>
        </w:rPr>
        <w:t>会</w:t>
      </w:r>
      <w:r>
        <w:rPr>
          <w:rFonts w:hint="eastAsia" w:ascii="仿宋" w:hAnsi="仿宋" w:eastAsia="仿宋" w:cs="仿宋"/>
          <w:color w:val="auto"/>
          <w:sz w:val="30"/>
          <w:szCs w:val="30"/>
        </w:rPr>
        <w:t>的决议</w:t>
      </w:r>
    </w:p>
    <w:p>
      <w:pPr>
        <w:spacing w:line="240" w:lineRule="auto"/>
        <w:ind w:firstLine="6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）维护本</w:t>
      </w:r>
      <w:r>
        <w:rPr>
          <w:rFonts w:hint="eastAsia" w:ascii="仿宋" w:hAnsi="仿宋" w:eastAsia="仿宋" w:cs="仿宋"/>
          <w:color w:val="auto"/>
          <w:sz w:val="30"/>
          <w:szCs w:val="30"/>
          <w:lang w:val="en-US" w:eastAsia="zh-CN"/>
        </w:rPr>
        <w:t>会</w:t>
      </w:r>
      <w:r>
        <w:rPr>
          <w:rFonts w:hint="eastAsia" w:ascii="仿宋" w:hAnsi="仿宋" w:eastAsia="仿宋" w:cs="仿宋"/>
          <w:color w:val="auto"/>
          <w:sz w:val="30"/>
          <w:szCs w:val="30"/>
        </w:rPr>
        <w:t>合法权益</w:t>
      </w:r>
    </w:p>
    <w:p>
      <w:pPr>
        <w:spacing w:line="240" w:lineRule="auto"/>
        <w:ind w:firstLine="6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）完成本</w:t>
      </w:r>
      <w:r>
        <w:rPr>
          <w:rFonts w:hint="eastAsia" w:ascii="仿宋" w:hAnsi="仿宋" w:eastAsia="仿宋" w:cs="仿宋"/>
          <w:color w:val="auto"/>
          <w:sz w:val="30"/>
          <w:szCs w:val="30"/>
          <w:lang w:val="en-US" w:eastAsia="zh-CN"/>
        </w:rPr>
        <w:t>会</w:t>
      </w:r>
      <w:r>
        <w:rPr>
          <w:rFonts w:hint="eastAsia" w:ascii="仿宋" w:hAnsi="仿宋" w:eastAsia="仿宋" w:cs="仿宋"/>
          <w:color w:val="auto"/>
          <w:sz w:val="30"/>
          <w:szCs w:val="30"/>
        </w:rPr>
        <w:t>交办的工作</w:t>
      </w:r>
    </w:p>
    <w:p>
      <w:pPr>
        <w:spacing w:line="240" w:lineRule="auto"/>
        <w:ind w:firstLine="6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遵守行业自律规约</w:t>
      </w:r>
    </w:p>
    <w:p>
      <w:pPr>
        <w:spacing w:line="240" w:lineRule="auto"/>
        <w:ind w:firstLine="6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（六）执行本会发布的团体标准</w:t>
      </w:r>
    </w:p>
    <w:p>
      <w:pPr>
        <w:spacing w:line="240" w:lineRule="auto"/>
        <w:ind w:firstLine="6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w:t>
      </w:r>
      <w:r>
        <w:rPr>
          <w:rFonts w:hint="eastAsia" w:ascii="仿宋" w:hAnsi="仿宋" w:eastAsia="仿宋" w:cs="仿宋"/>
          <w:color w:val="auto"/>
          <w:sz w:val="30"/>
          <w:szCs w:val="30"/>
        </w:rPr>
        <w:t>按规定交纳会费</w:t>
      </w:r>
      <w:r>
        <w:rPr>
          <w:rFonts w:hint="eastAsia" w:ascii="仿宋" w:hAnsi="仿宋" w:eastAsia="仿宋" w:cs="仿宋"/>
          <w:color w:val="auto"/>
          <w:sz w:val="30"/>
          <w:szCs w:val="30"/>
          <w:lang w:val="en-US" w:eastAsia="zh-CN"/>
        </w:rPr>
        <w:t>。</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第五条 会员享有下列权利：</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（一）选举权、被选举权和表决权；</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（二）对本会工作的知情权、建议权和监督权；</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（三）本会组织活动的参与权；</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（四）获得本会服务的优先权；</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（五）反映诉求；</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（六）入会自愿、退会自由。</w:t>
      </w:r>
    </w:p>
    <w:p>
      <w:pPr>
        <w:ind w:firstLine="900" w:firstLineChars="3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第六条  会员入会的程序：</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（一）登陆协会网站，阅读并认可《协会章程》《协会会员管理办法》和《协会会费缴纳标准与管理办法》的有关规定；</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（二）在网站注册用户名（单位中文全称）、密码，选择相应的入会通道，填写并网上提交《会员入会申请表》（加盖单位公章）、营业执照（副本）等电子文件资料；</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（三）本会秘书处讨论通过；</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（四）发送关于批准入会的信息提示；</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（五）申请单位在接到批复通知30个工作日内，按照通知要求交纳首次会费；</w:t>
      </w:r>
    </w:p>
    <w:p>
      <w:pPr>
        <w:ind w:firstLine="600" w:firstLineChars="200"/>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（六）本会秘书处收到会费款后，将申请单位信息正式转入会员库，颁发会员证书，并在协会网站予以公告，完成入会程序。</w:t>
      </w:r>
    </w:p>
    <w:p>
      <w:pPr>
        <w:ind w:firstLine="900" w:firstLineChars="3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第七条  会员1年以上无故未缴纳会费的、受到本会取消会员资格处分的，其会员资格相应终止。</w:t>
      </w:r>
    </w:p>
    <w:p>
      <w:pPr>
        <w:ind w:firstLine="900" w:firstLineChars="3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第八条  会员晋升理事、常务理事单位，由会员单位向秘书处提出申请，报会长办公会研究同意后，经理事会或者常务理事会审议通过。</w:t>
      </w:r>
    </w:p>
    <w:p>
      <w:pPr>
        <w:ind w:firstLine="3000" w:firstLineChars="1000"/>
        <w:rPr>
          <w:rFonts w:hint="eastAsia" w:ascii="仿宋" w:hAnsi="仿宋" w:eastAsia="仿宋" w:cs="仿宋"/>
          <w:b/>
          <w:bCs/>
          <w:i w:val="0"/>
          <w:iCs w:val="0"/>
          <w:caps w:val="0"/>
          <w:color w:val="auto"/>
          <w:spacing w:val="0"/>
          <w:sz w:val="30"/>
          <w:szCs w:val="30"/>
          <w:shd w:val="clear" w:color="auto"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color="auto" w:fill="FFFFFF"/>
          <w:lang w:val="en-US" w:eastAsia="zh-CN"/>
        </w:rPr>
      </w:pPr>
      <w:r>
        <w:rPr>
          <w:rFonts w:hint="eastAsia" w:ascii="仿宋" w:hAnsi="仿宋" w:eastAsia="仿宋" w:cs="仿宋"/>
          <w:b/>
          <w:bCs/>
          <w:i w:val="0"/>
          <w:iCs w:val="0"/>
          <w:caps w:val="0"/>
          <w:color w:val="auto"/>
          <w:spacing w:val="0"/>
          <w:sz w:val="30"/>
          <w:szCs w:val="30"/>
          <w:shd w:val="clear" w:color="auto" w:fill="FFFFFF"/>
          <w:lang w:val="en-US" w:eastAsia="zh-CN"/>
        </w:rPr>
        <w:t>第三章 会员服务</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第九条  本会为会员提供包括但不限于的以下服务：</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（一）收集并反映会员诉求，维护会员权益;</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（二）通过论坛、研讨会、推介会等活动为会员提供交流学习、项目推介与合作平台；</w:t>
      </w:r>
    </w:p>
    <w:p>
      <w:pPr>
        <w:ind w:firstLine="600" w:firstLineChars="200"/>
        <w:jc w:val="both"/>
        <w:rPr>
          <w:rFonts w:hint="eastAsia" w:ascii="仿宋" w:hAnsi="仿宋" w:eastAsia="仿宋" w:cs="仿宋"/>
          <w:i w:val="0"/>
          <w:iCs w:val="0"/>
          <w:caps w:val="0"/>
          <w:color w:val="auto"/>
          <w:spacing w:val="15"/>
          <w:sz w:val="30"/>
          <w:szCs w:val="30"/>
          <w:shd w:val="clear" w:color="auto" w:fill="FFFFFF"/>
          <w:lang w:eastAsia="zh-CN"/>
        </w:rPr>
      </w:pPr>
      <w:r>
        <w:rPr>
          <w:rFonts w:hint="eastAsia" w:ascii="仿宋" w:hAnsi="仿宋" w:eastAsia="仿宋" w:cs="仿宋"/>
          <w:i w:val="0"/>
          <w:iCs w:val="0"/>
          <w:caps w:val="0"/>
          <w:color w:val="auto"/>
          <w:spacing w:val="0"/>
          <w:sz w:val="30"/>
          <w:szCs w:val="30"/>
          <w:shd w:val="clear" w:color="auto" w:fill="FFFFFF"/>
          <w:lang w:val="en-US" w:eastAsia="zh-CN"/>
        </w:rPr>
        <w:t>（三）组织</w:t>
      </w:r>
      <w:r>
        <w:rPr>
          <w:rFonts w:hint="eastAsia" w:ascii="仿宋" w:hAnsi="仿宋" w:eastAsia="仿宋" w:cs="仿宋"/>
          <w:i w:val="0"/>
          <w:iCs w:val="0"/>
          <w:caps w:val="0"/>
          <w:color w:val="auto"/>
          <w:spacing w:val="15"/>
          <w:sz w:val="30"/>
          <w:szCs w:val="30"/>
          <w:shd w:val="clear" w:color="auto" w:fill="FFFFFF"/>
        </w:rPr>
        <w:t>产业链“链主”企业与上下游中小企业供需见面、路演推介</w:t>
      </w:r>
      <w:r>
        <w:rPr>
          <w:rFonts w:hint="eastAsia" w:ascii="仿宋" w:hAnsi="仿宋" w:eastAsia="仿宋" w:cs="仿宋"/>
          <w:i w:val="0"/>
          <w:iCs w:val="0"/>
          <w:caps w:val="0"/>
          <w:color w:val="auto"/>
          <w:spacing w:val="15"/>
          <w:sz w:val="30"/>
          <w:szCs w:val="30"/>
          <w:shd w:val="clear" w:color="auto" w:fill="FFFFFF"/>
          <w:lang w:eastAsia="zh-CN"/>
        </w:rPr>
        <w:t>；</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（四）以面授培训、网络教育、会员间交流互访等形式为会员提供人才培训、培养服务；</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（五）组织会员参加全国以及华东区域范围内的安全生产管理学习交流观摩活动。</w:t>
      </w:r>
    </w:p>
    <w:p>
      <w:pPr>
        <w:ind w:firstLine="2400" w:firstLineChars="800"/>
        <w:jc w:val="both"/>
        <w:rPr>
          <w:rFonts w:hint="eastAsia" w:ascii="仿宋" w:hAnsi="仿宋" w:eastAsia="仿宋" w:cs="仿宋"/>
          <w:i w:val="0"/>
          <w:iCs w:val="0"/>
          <w:caps w:val="0"/>
          <w:color w:val="auto"/>
          <w:spacing w:val="0"/>
          <w:sz w:val="30"/>
          <w:szCs w:val="30"/>
          <w:shd w:val="clear" w:color="auto" w:fill="FFFFFF"/>
          <w:lang w:val="en-US" w:eastAsia="zh-CN"/>
        </w:rPr>
      </w:pPr>
    </w:p>
    <w:p>
      <w:pPr>
        <w:ind w:firstLine="2700" w:firstLineChars="900"/>
        <w:jc w:val="both"/>
        <w:rPr>
          <w:rFonts w:hint="eastAsia" w:ascii="仿宋" w:hAnsi="仿宋" w:eastAsia="仿宋" w:cs="仿宋"/>
          <w:b/>
          <w:bCs/>
          <w:i w:val="0"/>
          <w:iCs w:val="0"/>
          <w:caps w:val="0"/>
          <w:color w:val="auto"/>
          <w:spacing w:val="0"/>
          <w:sz w:val="30"/>
          <w:szCs w:val="30"/>
          <w:shd w:val="clear" w:color="auto" w:fill="FFFFFF"/>
          <w:lang w:val="en-US" w:eastAsia="zh-CN"/>
        </w:rPr>
      </w:pPr>
      <w:r>
        <w:rPr>
          <w:rFonts w:hint="eastAsia" w:ascii="仿宋" w:hAnsi="仿宋" w:eastAsia="仿宋" w:cs="仿宋"/>
          <w:b/>
          <w:bCs/>
          <w:i w:val="0"/>
          <w:iCs w:val="0"/>
          <w:caps w:val="0"/>
          <w:color w:val="auto"/>
          <w:spacing w:val="0"/>
          <w:sz w:val="30"/>
          <w:szCs w:val="30"/>
          <w:shd w:val="clear" w:color="auto" w:fill="FFFFFF"/>
          <w:lang w:val="en-US" w:eastAsia="zh-CN"/>
        </w:rPr>
        <w:t>第四章  会员自律管理</w:t>
      </w:r>
    </w:p>
    <w:p>
      <w:pPr>
        <w:ind w:firstLine="600" w:firstLineChars="200"/>
        <w:jc w:val="both"/>
        <w:rPr>
          <w:rFonts w:hint="eastAsia" w:ascii="仿宋" w:hAnsi="仿宋" w:eastAsia="仿宋" w:cs="仿宋"/>
          <w:i w:val="0"/>
          <w:iCs w:val="0"/>
          <w:caps w:val="0"/>
          <w:color w:val="auto"/>
          <w:spacing w:val="0"/>
          <w:sz w:val="30"/>
          <w:szCs w:val="30"/>
          <w:shd w:val="clear" w:color="auto" w:fill="FFFFFF"/>
          <w:lang w:eastAsia="zh-CN"/>
        </w:rPr>
      </w:pPr>
      <w:r>
        <w:rPr>
          <w:rFonts w:hint="eastAsia" w:ascii="仿宋" w:hAnsi="仿宋" w:eastAsia="仿宋" w:cs="仿宋"/>
          <w:i w:val="0"/>
          <w:iCs w:val="0"/>
          <w:caps w:val="0"/>
          <w:color w:val="auto"/>
          <w:spacing w:val="0"/>
          <w:sz w:val="30"/>
          <w:szCs w:val="30"/>
          <w:shd w:val="clear" w:color="auto" w:fill="FFFFFF"/>
          <w:lang w:val="en-US" w:eastAsia="zh-CN"/>
        </w:rPr>
        <w:t>第十条 本会按照《章程》要求，</w:t>
      </w:r>
      <w:r>
        <w:rPr>
          <w:rFonts w:hint="eastAsia" w:ascii="仿宋" w:hAnsi="仿宋" w:eastAsia="仿宋" w:cs="仿宋"/>
          <w:i w:val="0"/>
          <w:iCs w:val="0"/>
          <w:caps w:val="0"/>
          <w:color w:val="auto"/>
          <w:spacing w:val="0"/>
          <w:sz w:val="30"/>
          <w:szCs w:val="30"/>
          <w:shd w:val="clear" w:color="auto" w:fill="FFFFFF"/>
        </w:rPr>
        <w:t>加强行业自律和诚信建设，研究制定自律规约</w:t>
      </w:r>
      <w:r>
        <w:rPr>
          <w:rFonts w:hint="eastAsia" w:ascii="仿宋" w:hAnsi="仿宋" w:eastAsia="仿宋" w:cs="仿宋"/>
          <w:i w:val="0"/>
          <w:iCs w:val="0"/>
          <w:caps w:val="0"/>
          <w:color w:val="auto"/>
          <w:spacing w:val="0"/>
          <w:sz w:val="30"/>
          <w:szCs w:val="30"/>
          <w:shd w:val="clear" w:color="auto" w:fill="FFFFFF"/>
          <w:lang w:eastAsia="zh-CN"/>
        </w:rPr>
        <w:t>。</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第十一条  本会会员单位存在违反行业自律公约行为，本会可以视情节给予提醒谈话、警告、责令检讨、通报批评、公开谴责暂、停止行使会员权利、除名等惩戒。</w:t>
      </w:r>
    </w:p>
    <w:p>
      <w:pPr>
        <w:ind w:firstLine="3000" w:firstLineChars="1000"/>
        <w:jc w:val="both"/>
        <w:rPr>
          <w:rFonts w:hint="eastAsia" w:ascii="仿宋" w:hAnsi="仿宋" w:eastAsia="仿宋" w:cs="仿宋"/>
          <w:i w:val="0"/>
          <w:iCs w:val="0"/>
          <w:caps w:val="0"/>
          <w:color w:val="auto"/>
          <w:spacing w:val="0"/>
          <w:sz w:val="30"/>
          <w:szCs w:val="30"/>
          <w:shd w:val="clear" w:color="auto"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color="auto" w:fill="FFFFFF"/>
          <w:lang w:val="en-US" w:eastAsia="zh-CN"/>
        </w:rPr>
      </w:pPr>
      <w:r>
        <w:rPr>
          <w:rFonts w:hint="eastAsia" w:ascii="仿宋" w:hAnsi="仿宋" w:eastAsia="仿宋" w:cs="仿宋"/>
          <w:b/>
          <w:bCs/>
          <w:i w:val="0"/>
          <w:iCs w:val="0"/>
          <w:caps w:val="0"/>
          <w:color w:val="auto"/>
          <w:spacing w:val="0"/>
          <w:sz w:val="30"/>
          <w:szCs w:val="30"/>
          <w:shd w:val="clear" w:color="auto" w:fill="FFFFFF"/>
          <w:lang w:val="en-US" w:eastAsia="zh-CN"/>
        </w:rPr>
        <w:t>第五章附则</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color="auto" w:fill="FFFFFF"/>
          <w:lang w:val="en-US" w:eastAsia="zh-CN"/>
        </w:rPr>
        <w:t>第十二条  本办法经第五次会员代表大会审议通过，自发布之日起施行。</w:t>
      </w:r>
    </w:p>
    <w:p>
      <w:pPr>
        <w:ind w:firstLine="3000" w:firstLineChars="1000"/>
        <w:jc w:val="center"/>
        <w:rPr>
          <w:rFonts w:hint="eastAsia" w:ascii="仿宋" w:hAnsi="仿宋" w:eastAsia="仿宋" w:cs="仿宋"/>
          <w:i w:val="0"/>
          <w:iCs w:val="0"/>
          <w:caps w:val="0"/>
          <w:color w:val="auto"/>
          <w:spacing w:val="0"/>
          <w:sz w:val="30"/>
          <w:szCs w:val="30"/>
          <w:shd w:val="clear" w:color="auto" w:fill="FFFFFF"/>
          <w:lang w:val="en-US" w:eastAsia="zh-CN"/>
        </w:rPr>
      </w:pPr>
    </w:p>
    <w:p>
      <w:pPr>
        <w:ind w:firstLine="4200" w:firstLineChars="1400"/>
        <w:rPr>
          <w:rFonts w:hint="default" w:ascii="仿宋" w:hAnsi="仿宋" w:eastAsia="仿宋" w:cs="仿宋"/>
          <w:b w:val="0"/>
          <w:bCs w:val="0"/>
          <w:i w:val="0"/>
          <w:iCs w:val="0"/>
          <w:caps w:val="0"/>
          <w:color w:val="auto"/>
          <w:spacing w:val="0"/>
          <w:sz w:val="30"/>
          <w:szCs w:val="30"/>
          <w:shd w:val="clear" w:color="auto" w:fill="FFFFFF"/>
          <w:lang w:val="en-US" w:eastAsia="zh-CN"/>
        </w:rPr>
      </w:pPr>
    </w:p>
    <w:p>
      <w:pPr>
        <w:rPr>
          <w:rFonts w:hint="eastAsia" w:ascii="仿宋" w:hAnsi="仿宋" w:eastAsia="仿宋" w:cs="Arial"/>
          <w:color w:val="auto"/>
          <w:kern w:val="0"/>
          <w:sz w:val="32"/>
          <w:szCs w:val="32"/>
          <w:shd w:val="clear" w:color="auto" w:fill="FFFFFF"/>
          <w:lang w:val="en-US" w:eastAsia="zh-CN"/>
        </w:rPr>
      </w:pPr>
      <w:r>
        <w:rPr>
          <w:rFonts w:hint="eastAsia" w:ascii="仿宋" w:hAnsi="仿宋" w:eastAsia="仿宋" w:cs="Arial"/>
          <w:color w:val="auto"/>
          <w:kern w:val="0"/>
          <w:sz w:val="32"/>
          <w:szCs w:val="32"/>
          <w:shd w:val="clear" w:color="auto" w:fill="FFFFFF"/>
          <w:lang w:val="en-US" w:eastAsia="zh-CN"/>
        </w:rPr>
        <w:br w:type="page"/>
      </w:r>
    </w:p>
    <w:p>
      <w:pPr>
        <w:widowControl/>
        <w:shd w:val="clear" w:color="auto" w:fill="FFFFFF"/>
        <w:adjustRightInd w:val="0"/>
        <w:snapToGrid w:val="0"/>
        <w:ind w:firstLine="900" w:firstLineChars="300"/>
        <w:jc w:val="both"/>
        <w:rPr>
          <w:rFonts w:hint="eastAsia" w:ascii="仿宋" w:hAnsi="仿宋" w:eastAsia="仿宋" w:cs="仿宋"/>
          <w:b/>
          <w:snapToGrid w:val="0"/>
          <w:color w:val="auto"/>
          <w:kern w:val="0"/>
          <w:sz w:val="30"/>
          <w:szCs w:val="30"/>
        </w:rPr>
      </w:pPr>
    </w:p>
    <w:p>
      <w:pPr>
        <w:widowControl/>
        <w:shd w:val="clear" w:color="auto" w:fill="FFFFFF"/>
        <w:adjustRightInd w:val="0"/>
        <w:snapToGrid w:val="0"/>
        <w:ind w:firstLine="1320" w:firstLineChars="300"/>
        <w:jc w:val="both"/>
        <w:rPr>
          <w:rFonts w:hint="eastAsia" w:asciiTheme="majorEastAsia" w:hAnsiTheme="majorEastAsia" w:eastAsiaTheme="majorEastAsia" w:cstheme="majorEastAsia"/>
          <w:b/>
          <w:snapToGrid w:val="0"/>
          <w:color w:val="auto"/>
          <w:kern w:val="0"/>
          <w:sz w:val="44"/>
          <w:szCs w:val="44"/>
        </w:rPr>
      </w:pPr>
      <w:r>
        <w:rPr>
          <w:rFonts w:hint="eastAsia" w:asciiTheme="majorEastAsia" w:hAnsiTheme="majorEastAsia" w:eastAsiaTheme="majorEastAsia" w:cstheme="majorEastAsia"/>
          <w:b/>
          <w:snapToGrid w:val="0"/>
          <w:color w:val="auto"/>
          <w:kern w:val="0"/>
          <w:sz w:val="44"/>
          <w:szCs w:val="44"/>
        </w:rPr>
        <w:t>山东省建筑安全与设备管理协会</w:t>
      </w:r>
    </w:p>
    <w:p>
      <w:pPr>
        <w:widowControl/>
        <w:shd w:val="clear" w:color="auto" w:fill="FFFFFF"/>
        <w:adjustRightInd w:val="0"/>
        <w:snapToGrid w:val="0"/>
        <w:ind w:firstLine="2640" w:firstLineChars="600"/>
        <w:jc w:val="both"/>
        <w:rPr>
          <w:rFonts w:hint="eastAsia" w:asciiTheme="majorEastAsia" w:hAnsiTheme="majorEastAsia" w:eastAsiaTheme="majorEastAsia" w:cstheme="majorEastAsia"/>
          <w:b/>
          <w:snapToGrid w:val="0"/>
          <w:color w:val="auto"/>
          <w:kern w:val="0"/>
          <w:sz w:val="44"/>
          <w:szCs w:val="44"/>
        </w:rPr>
      </w:pPr>
      <w:r>
        <w:rPr>
          <w:rFonts w:hint="eastAsia" w:asciiTheme="majorEastAsia" w:hAnsiTheme="majorEastAsia" w:eastAsiaTheme="majorEastAsia" w:cstheme="majorEastAsia"/>
          <w:b/>
          <w:snapToGrid w:val="0"/>
          <w:color w:val="auto"/>
          <w:kern w:val="0"/>
          <w:sz w:val="44"/>
          <w:szCs w:val="44"/>
        </w:rPr>
        <w:t>团体标准管理办法</w:t>
      </w:r>
    </w:p>
    <w:p>
      <w:pPr>
        <w:widowControl/>
        <w:shd w:val="clear" w:color="auto" w:fill="FFFFFF"/>
        <w:adjustRightInd w:val="0"/>
        <w:snapToGrid w:val="0"/>
        <w:jc w:val="both"/>
        <w:rPr>
          <w:rFonts w:hint="eastAsia" w:ascii="仿宋" w:hAnsi="仿宋" w:eastAsia="仿宋" w:cs="仿宋"/>
          <w:snapToGrid w:val="0"/>
          <w:color w:val="auto"/>
          <w:kern w:val="0"/>
          <w:sz w:val="30"/>
          <w:szCs w:val="30"/>
        </w:rPr>
      </w:pPr>
    </w:p>
    <w:p>
      <w:pPr>
        <w:widowControl/>
        <w:shd w:val="clear" w:color="auto" w:fill="FFFFFF"/>
        <w:adjustRightInd w:val="0"/>
        <w:snapToGrid w:val="0"/>
        <w:jc w:val="center"/>
        <w:rPr>
          <w:rFonts w:hint="eastAsia" w:ascii="仿宋" w:hAnsi="仿宋" w:eastAsia="仿宋" w:cs="仿宋"/>
          <w:snapToGrid w:val="0"/>
          <w:color w:val="auto"/>
          <w:kern w:val="0"/>
          <w:sz w:val="30"/>
          <w:szCs w:val="30"/>
        </w:rPr>
      </w:pPr>
    </w:p>
    <w:p>
      <w:pPr>
        <w:widowControl/>
        <w:shd w:val="clear" w:color="auto" w:fill="FFFFFF"/>
        <w:adjustRightInd w:val="0"/>
        <w:snapToGrid w:val="0"/>
        <w:spacing w:line="360" w:lineRule="auto"/>
        <w:jc w:val="center"/>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第一章 总  则</w:t>
      </w:r>
    </w:p>
    <w:p>
      <w:pPr>
        <w:widowControl/>
        <w:shd w:val="clear" w:color="auto" w:fill="FFFFFF"/>
        <w:adjustRightInd w:val="0"/>
        <w:snapToGrid w:val="0"/>
        <w:spacing w:line="56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第一条 根据《中华人民共和国标准化法》《国务院关于印发深化标准化工作改革方案的通知》（国发[2015]13号）、《住房城乡建设部办公厅关于培育和发展工程建设团体标准的意见》(建办标〔2016〕57号)的要求和有关法律、法规的规定，制定本办法。</w:t>
      </w:r>
    </w:p>
    <w:p>
      <w:pPr>
        <w:widowControl/>
        <w:shd w:val="clear" w:color="auto" w:fill="FFFFFF"/>
        <w:adjustRightInd w:val="0"/>
        <w:snapToGrid w:val="0"/>
        <w:spacing w:line="56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第二条 </w:t>
      </w:r>
      <w:r>
        <w:rPr>
          <w:rFonts w:hint="eastAsia" w:ascii="仿宋" w:hAnsi="仿宋" w:eastAsia="仿宋" w:cs="仿宋"/>
          <w:i w:val="0"/>
          <w:iCs w:val="0"/>
          <w:caps w:val="0"/>
          <w:color w:val="auto"/>
          <w:spacing w:val="15"/>
          <w:sz w:val="30"/>
          <w:szCs w:val="30"/>
        </w:rPr>
        <w:t>团体标准是依法成立的社会团体为满足市场和创新需要，协调相关市场主体共同制定的标准。</w:t>
      </w:r>
    </w:p>
    <w:p>
      <w:pPr>
        <w:widowControl/>
        <w:shd w:val="clear" w:color="auto" w:fill="FFFFFF"/>
        <w:adjustRightInd w:val="0"/>
        <w:snapToGrid w:val="0"/>
        <w:spacing w:line="56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第三条  本办法适用于山东省建筑安全与设备管理协会团体标准（以下简称团体标准）的制订、修订、复审、实施监督和日常管理等工作。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75" w:firstLine="600" w:firstLineChars="200"/>
        <w:jc w:val="both"/>
        <w:rPr>
          <w:rFonts w:hint="eastAsia" w:ascii="仿宋" w:hAnsi="仿宋" w:eastAsia="仿宋" w:cs="仿宋"/>
          <w:i w:val="0"/>
          <w:iCs w:val="0"/>
          <w:caps w:val="0"/>
          <w:color w:val="auto"/>
          <w:spacing w:val="15"/>
          <w:sz w:val="30"/>
          <w:szCs w:val="30"/>
          <w:lang w:val="en-US" w:eastAsia="zh-CN"/>
        </w:rPr>
      </w:pPr>
      <w:r>
        <w:rPr>
          <w:rFonts w:hint="eastAsia" w:ascii="仿宋" w:hAnsi="仿宋" w:eastAsia="仿宋" w:cs="仿宋"/>
          <w:color w:val="auto"/>
          <w:kern w:val="0"/>
          <w:sz w:val="30"/>
          <w:szCs w:val="30"/>
        </w:rPr>
        <w:t xml:space="preserve">第四条 </w:t>
      </w:r>
      <w:r>
        <w:rPr>
          <w:rFonts w:hint="eastAsia" w:ascii="仿宋" w:hAnsi="仿宋" w:eastAsia="仿宋" w:cs="仿宋"/>
          <w:color w:val="auto"/>
          <w:kern w:val="0"/>
          <w:sz w:val="30"/>
          <w:szCs w:val="30"/>
          <w:lang w:val="en-US" w:eastAsia="zh-CN"/>
        </w:rPr>
        <w:t>本协会</w:t>
      </w:r>
      <w:r>
        <w:rPr>
          <w:rFonts w:hint="eastAsia" w:ascii="仿宋" w:hAnsi="仿宋" w:eastAsia="仿宋" w:cs="仿宋"/>
          <w:i w:val="0"/>
          <w:iCs w:val="0"/>
          <w:caps w:val="0"/>
          <w:color w:val="auto"/>
          <w:spacing w:val="15"/>
          <w:sz w:val="30"/>
          <w:szCs w:val="30"/>
        </w:rPr>
        <w:t>以自律公约的方式推动团体标准的实施</w:t>
      </w:r>
      <w:r>
        <w:rPr>
          <w:rFonts w:hint="eastAsia" w:ascii="仿宋" w:hAnsi="仿宋" w:eastAsia="仿宋" w:cs="仿宋"/>
          <w:i w:val="0"/>
          <w:iCs w:val="0"/>
          <w:caps w:val="0"/>
          <w:color w:val="auto"/>
          <w:spacing w:val="15"/>
          <w:sz w:val="30"/>
          <w:szCs w:val="30"/>
          <w:lang w:eastAsia="zh-CN"/>
        </w:rPr>
        <w:t>，</w:t>
      </w:r>
      <w:r>
        <w:rPr>
          <w:rFonts w:hint="eastAsia" w:ascii="仿宋" w:hAnsi="仿宋" w:eastAsia="仿宋" w:cs="仿宋"/>
          <w:i w:val="0"/>
          <w:iCs w:val="0"/>
          <w:caps w:val="0"/>
          <w:color w:val="auto"/>
          <w:spacing w:val="15"/>
          <w:sz w:val="30"/>
          <w:szCs w:val="30"/>
        </w:rPr>
        <w:t>本</w:t>
      </w:r>
      <w:r>
        <w:rPr>
          <w:rFonts w:hint="eastAsia" w:ascii="仿宋" w:hAnsi="仿宋" w:eastAsia="仿宋" w:cs="仿宋"/>
          <w:i w:val="0"/>
          <w:iCs w:val="0"/>
          <w:caps w:val="0"/>
          <w:color w:val="auto"/>
          <w:spacing w:val="15"/>
          <w:sz w:val="30"/>
          <w:szCs w:val="30"/>
          <w:lang w:val="en-US" w:eastAsia="zh-CN"/>
        </w:rPr>
        <w:t>协会</w:t>
      </w:r>
      <w:r>
        <w:rPr>
          <w:rFonts w:hint="eastAsia" w:ascii="仿宋" w:hAnsi="仿宋" w:eastAsia="仿宋" w:cs="仿宋"/>
          <w:i w:val="0"/>
          <w:iCs w:val="0"/>
          <w:caps w:val="0"/>
          <w:color w:val="auto"/>
          <w:spacing w:val="15"/>
          <w:sz w:val="30"/>
          <w:szCs w:val="30"/>
        </w:rPr>
        <w:t>成员</w:t>
      </w:r>
      <w:r>
        <w:rPr>
          <w:rFonts w:hint="eastAsia" w:ascii="仿宋" w:hAnsi="仿宋" w:eastAsia="仿宋" w:cs="仿宋"/>
          <w:i w:val="0"/>
          <w:iCs w:val="0"/>
          <w:caps w:val="0"/>
          <w:color w:val="auto"/>
          <w:spacing w:val="15"/>
          <w:sz w:val="30"/>
          <w:szCs w:val="30"/>
          <w:lang w:val="en-US" w:eastAsia="zh-CN"/>
        </w:rPr>
        <w:t>应采用并执行，非会员单位必须通过协会书面授权方可使用。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75" w:firstLine="660" w:firstLineChars="200"/>
        <w:jc w:val="both"/>
        <w:rPr>
          <w:rFonts w:hint="eastAsia" w:ascii="仿宋" w:hAnsi="仿宋" w:eastAsia="仿宋" w:cs="仿宋"/>
          <w:i w:val="0"/>
          <w:iCs w:val="0"/>
          <w:caps w:val="0"/>
          <w:color w:val="auto"/>
          <w:spacing w:val="15"/>
          <w:sz w:val="30"/>
          <w:szCs w:val="30"/>
          <w:lang w:eastAsia="zh-CN"/>
        </w:rPr>
      </w:pPr>
      <w:r>
        <w:rPr>
          <w:rFonts w:hint="eastAsia" w:ascii="仿宋" w:hAnsi="仿宋" w:eastAsia="仿宋" w:cs="仿宋"/>
          <w:i w:val="0"/>
          <w:iCs w:val="0"/>
          <w:caps w:val="0"/>
          <w:color w:val="auto"/>
          <w:spacing w:val="15"/>
          <w:sz w:val="30"/>
          <w:szCs w:val="30"/>
          <w:lang w:val="en-US" w:eastAsia="zh-CN"/>
        </w:rPr>
        <w:t>第五条 本协会不</w:t>
      </w:r>
      <w:r>
        <w:rPr>
          <w:rFonts w:hint="eastAsia" w:ascii="仿宋" w:hAnsi="仿宋" w:eastAsia="仿宋" w:cs="仿宋"/>
          <w:i w:val="0"/>
          <w:iCs w:val="0"/>
          <w:caps w:val="0"/>
          <w:color w:val="auto"/>
          <w:spacing w:val="0"/>
          <w:sz w:val="30"/>
          <w:szCs w:val="30"/>
          <w:shd w:val="clear" w:fill="FFFFFF"/>
        </w:rPr>
        <w:t>利用团体标准实施妨碍商品、服务自由流通等排除、限制市场竞争的行为。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75" w:firstLine="600" w:firstLineChars="200"/>
        <w:jc w:val="both"/>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val="en-US" w:eastAsia="zh-CN"/>
        </w:rPr>
        <w:t>六</w:t>
      </w:r>
      <w:r>
        <w:rPr>
          <w:rFonts w:hint="eastAsia" w:ascii="仿宋" w:hAnsi="仿宋" w:eastAsia="仿宋" w:cs="仿宋"/>
          <w:color w:val="auto"/>
          <w:kern w:val="0"/>
          <w:sz w:val="30"/>
          <w:szCs w:val="30"/>
        </w:rPr>
        <w:t>条</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 xml:space="preserve"> 团体标准的编号由团体标准的代号（T/）、山东省建筑安全与设备管理协会代号（SDJSXH）、发布标准的顺序号和发布标准的年代号组成，并应符合下列统一格式： </w:t>
      </w:r>
    </w:p>
    <w:p>
      <w:pPr>
        <w:spacing w:line="360" w:lineRule="auto"/>
        <w:ind w:firstLine="1800" w:firstLineChars="600"/>
        <w:rPr>
          <w:rFonts w:hint="eastAsia" w:ascii="仿宋" w:hAnsi="仿宋" w:eastAsia="仿宋" w:cs="仿宋"/>
          <w:color w:val="auto"/>
          <w:sz w:val="30"/>
          <w:szCs w:val="30"/>
        </w:rPr>
      </w:pPr>
    </w:p>
    <w:p>
      <w:pPr>
        <w:spacing w:line="360" w:lineRule="auto"/>
        <w:ind w:firstLine="1500" w:firstLineChars="500"/>
        <w:rPr>
          <w:rFonts w:hint="eastAsia" w:ascii="仿宋" w:hAnsi="仿宋" w:eastAsia="仿宋" w:cs="仿宋"/>
          <w:color w:val="auto"/>
          <w:sz w:val="30"/>
          <w:szCs w:val="30"/>
        </w:rPr>
      </w:pPr>
      <w:r>
        <w:rPr>
          <w:rFonts w:hint="eastAsia" w:ascii="仿宋" w:hAnsi="仿宋" w:eastAsia="仿宋" w:cs="仿宋"/>
          <w:color w:val="auto"/>
          <w:sz w:val="30"/>
          <w:szCs w:val="30"/>
        </w:rPr>
        <mc:AlternateContent>
          <mc:Choice Requires="wps">
            <w:drawing>
              <wp:anchor distT="0" distB="0" distL="114300" distR="114300" simplePos="0" relativeHeight="251668480" behindDoc="0" locked="0" layoutInCell="1" allowOverlap="1">
                <wp:simplePos x="0" y="0"/>
                <wp:positionH relativeFrom="column">
                  <wp:posOffset>1250950</wp:posOffset>
                </wp:positionH>
                <wp:positionV relativeFrom="paragraph">
                  <wp:posOffset>242570</wp:posOffset>
                </wp:positionV>
                <wp:extent cx="24130" cy="0"/>
                <wp:effectExtent l="4445" t="0" r="14605" b="4445"/>
                <wp:wrapNone/>
                <wp:docPr id="10" name="直接箭头连接符 10"/>
                <wp:cNvGraphicFramePr/>
                <a:graphic xmlns:a="http://schemas.openxmlformats.org/drawingml/2006/main">
                  <a:graphicData uri="http://schemas.microsoft.com/office/word/2010/wordprocessingShape">
                    <wps:wsp>
                      <wps:cNvCnPr/>
                      <wps:spPr>
                        <a:xfrm rot="16200000">
                          <a:off x="0" y="0"/>
                          <a:ext cx="241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8.5pt;margin-top:19.1pt;height:0pt;width:1.9pt;rotation:-5898240f;z-index:251668480;mso-width-relative:page;mso-height-relative:page;" filled="f" stroked="t" coordsize="21600,21600" o:gfxdata="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fdcpNUAAAAJAQAADwAAAAAAAAABACAAAAAiAAAAZHJzL2Rv&#10;d25yZXYueG1sUEsBAhQAFAAAAAgAh07iQGxsMm0EAgAA+wMAAA4AAAAAAAAAAQAgAAAAJAEAAGRy&#10;cy9lMm9Eb2MueG1sUEsFBgAAAAAGAAYAWQEAAJoFAAAAAA==&#10;">
                <v:fill on="f" focussize="0,0"/>
                <v:stroke color="#000000" joinstyle="round"/>
                <v:imagedata o:title=""/>
                <o:lock v:ext="edit" aspectratio="f"/>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1263015</wp:posOffset>
                </wp:positionH>
                <wp:positionV relativeFrom="paragraph">
                  <wp:posOffset>366395</wp:posOffset>
                </wp:positionV>
                <wp:extent cx="2548255" cy="1403985"/>
                <wp:effectExtent l="9525" t="4445" r="13970" b="20320"/>
                <wp:wrapNone/>
                <wp:docPr id="9" name="肘形连接符 9"/>
                <wp:cNvGraphicFramePr/>
                <a:graphic xmlns:a="http://schemas.openxmlformats.org/drawingml/2006/main">
                  <a:graphicData uri="http://schemas.microsoft.com/office/word/2010/wordprocessingShape">
                    <wps:wsp>
                      <wps:cNvCnPr/>
                      <wps:spPr>
                        <a:xfrm rot="10800000">
                          <a:off x="0" y="0"/>
                          <a:ext cx="2548255" cy="1403985"/>
                        </a:xfrm>
                        <a:prstGeom prst="bentConnector3">
                          <a:avLst>
                            <a:gd name="adj1" fmla="val 10019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99.45pt;margin-top:28.85pt;height:110.55pt;width:200.65pt;rotation:11796480f;z-index:251659264;mso-width-relative:page;mso-height-relative:page;" filled="f" stroked="t" coordsize="21600,21600" o:gfxdata="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88&#10;UNcAAAAKAQAADwAAAAAAAAABACAAAAAiAAAAZHJzL2Rvd25yZXYueG1sUEsBAhQAFAAAAAgAh07i&#10;QIHn+LMjAgAALwQAAA4AAAAAAAAAAQAgAAAAJgEAAGRycy9lMm9Eb2MueG1sUEsFBgAAAAAGAAYA&#10;WQEAALsFAAAAAA==&#10;" adj="21643">
                <v:fill on="f" focussize="0,0"/>
                <v:stroke color="#000000" joinstyle="miter"/>
                <v:imagedata o:title=""/>
                <o:lock v:ext="edit" aspectratio="f"/>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1565275</wp:posOffset>
                </wp:positionH>
                <wp:positionV relativeFrom="paragraph">
                  <wp:posOffset>366395</wp:posOffset>
                </wp:positionV>
                <wp:extent cx="2245995" cy="988695"/>
                <wp:effectExtent l="3175" t="4445" r="17780" b="16510"/>
                <wp:wrapNone/>
                <wp:docPr id="12" name="肘形连接符 12"/>
                <wp:cNvGraphicFramePr/>
                <a:graphic xmlns:a="http://schemas.openxmlformats.org/drawingml/2006/main">
                  <a:graphicData uri="http://schemas.microsoft.com/office/word/2010/wordprocessingShape">
                    <wps:wsp>
                      <wps:cNvCnPr/>
                      <wps:spPr>
                        <a:xfrm>
                          <a:off x="0" y="0"/>
                          <a:ext cx="2245995" cy="988695"/>
                        </a:xfrm>
                        <a:prstGeom prst="bentConnector3">
                          <a:avLst>
                            <a:gd name="adj1" fmla="val 83"/>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23.25pt;margin-top:28.85pt;height:77.85pt;width:176.85pt;z-index:251660288;mso-width-relative:page;mso-height-relative:page;" filled="f" stroked="t" coordsize="21600,21600" o:gfxdata="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vxLG2QAAAAoBAAAPAAAA&#10;AAAAAAEAIAAAACIAAABkcnMvZG93bnJldi54bWxQSwECFAAUAAAACACHTuJADu6iJRQCAAAdBAAA&#10;DgAAAAAAAAABACAAAAAoAQAAZHJzL2Uyb0RvYy54bWxQSwUGAAAAAAYABgBZAQAArgUAAAAA&#10;" adj="18">
                <v:fill on="f" focussize="0,0"/>
                <v:stroke color="#000000" joinstyle="miter"/>
                <v:imagedata o:title=""/>
                <o:lock v:ext="edit" aspectratio="f"/>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2125345</wp:posOffset>
                </wp:positionH>
                <wp:positionV relativeFrom="paragraph">
                  <wp:posOffset>346075</wp:posOffset>
                </wp:positionV>
                <wp:extent cx="1685925" cy="627380"/>
                <wp:effectExtent l="5080" t="4445" r="4445" b="15875"/>
                <wp:wrapNone/>
                <wp:docPr id="13" name="肘形连接符 13"/>
                <wp:cNvGraphicFramePr/>
                <a:graphic xmlns:a="http://schemas.openxmlformats.org/drawingml/2006/main">
                  <a:graphicData uri="http://schemas.microsoft.com/office/word/2010/wordprocessingShape">
                    <wps:wsp>
                      <wps:cNvCnPr/>
                      <wps:spPr>
                        <a:xfrm>
                          <a:off x="0" y="0"/>
                          <a:ext cx="1685925" cy="627380"/>
                        </a:xfrm>
                        <a:prstGeom prst="bentConnector3">
                          <a:avLst>
                            <a:gd name="adj1" fmla="val -37"/>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67.35pt;margin-top:27.25pt;height:49.4pt;width:132.75pt;z-index:251661312;mso-width-relative:page;mso-height-relative:page;" filled="f" stroked="t" coordsize="21600,21600" o:gfxdata="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1pnpDXAAAACgEAAA8A&#10;AAAAAAAAAQAgAAAAIgAAAGRycy9kb3ducmV2LnhtbFBLAQIUABQAAAAIAIdO4kBGq22UGAIAAB4E&#10;AAAOAAAAAAAAAAEAIAAAACYBAABkcnMvZTJvRG9jLnhtbFBLBQYAAAAABgAGAFkBAACwBQAAAAA=&#10;" adj="-8">
                <v:fill on="f" focussize="0,0"/>
                <v:stroke color="#000000" joinstyle="miter"/>
                <v:imagedata o:title=""/>
                <o:lock v:ext="edit" aspectratio="f"/>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2698115</wp:posOffset>
                </wp:positionH>
                <wp:positionV relativeFrom="paragraph">
                  <wp:posOffset>330200</wp:posOffset>
                </wp:positionV>
                <wp:extent cx="1113155" cy="224155"/>
                <wp:effectExtent l="0" t="4445" r="10795" b="19050"/>
                <wp:wrapNone/>
                <wp:docPr id="14" name="肘形连接符 14"/>
                <wp:cNvGraphicFramePr/>
                <a:graphic xmlns:a="http://schemas.openxmlformats.org/drawingml/2006/main">
                  <a:graphicData uri="http://schemas.microsoft.com/office/word/2010/wordprocessingShape">
                    <wps:wsp>
                      <wps:cNvCnPr/>
                      <wps:spPr>
                        <a:xfrm>
                          <a:off x="0" y="0"/>
                          <a:ext cx="1113155" cy="224155"/>
                        </a:xfrm>
                        <a:prstGeom prst="bentConnector3">
                          <a:avLst>
                            <a:gd name="adj1" fmla="val 685"/>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12.45pt;margin-top:26pt;height:17.65pt;width:87.65pt;z-index:251663360;mso-width-relative:page;mso-height-relative:page;" filled="f" stroked="t" coordsize="21600,21600" o:gfxdata="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yvFjNgAAAAJAQAADwAA&#10;AAAAAAABACAAAAAiAAAAZHJzL2Rvd25yZXYueG1sUEsBAhQAFAAAAAgAh07iQHAkQDkWAgAAHgQA&#10;AA4AAAAAAAAAAQAgAAAAJwEAAGRycy9lMm9Eb2MueG1sUEsFBgAAAAAGAAYAWQEAAK8FAAAAAA==&#10;" adj="148">
                <v:fill on="f" focussize="0,0"/>
                <v:stroke color="#000000" joinstyle="miter"/>
                <v:imagedata o:title=""/>
                <o:lock v:ext="edit" aspectratio="f"/>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3735070</wp:posOffset>
                </wp:positionH>
                <wp:positionV relativeFrom="paragraph">
                  <wp:posOffset>278765</wp:posOffset>
                </wp:positionV>
                <wp:extent cx="1668780" cy="5264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8780" cy="526415"/>
                        </a:xfrm>
                        <a:prstGeom prst="rect">
                          <a:avLst/>
                        </a:prstGeom>
                        <a:noFill/>
                        <a:ln>
                          <a:noFill/>
                        </a:ln>
                      </wps:spPr>
                      <wps:txbx>
                        <w:txbxContent>
                          <w:p>
                            <w:pPr>
                              <w:rPr>
                                <w:sz w:val="28"/>
                                <w:szCs w:val="28"/>
                              </w:rPr>
                            </w:pPr>
                            <w:r>
                              <w:rPr>
                                <w:rFonts w:hint="eastAsia"/>
                                <w:sz w:val="28"/>
                                <w:szCs w:val="28"/>
                              </w:rPr>
                              <w:t>发布标准的年代号</w:t>
                            </w:r>
                          </w:p>
                        </w:txbxContent>
                      </wps:txbx>
                      <wps:bodyPr upright="1"/>
                    </wps:wsp>
                  </a:graphicData>
                </a:graphic>
              </wp:anchor>
            </w:drawing>
          </mc:Choice>
          <mc:Fallback>
            <w:pict>
              <v:shape id="_x0000_s1026" o:spid="_x0000_s1026" o:spt="202" type="#_x0000_t202" style="position:absolute;left:0pt;margin-left:294.1pt;margin-top:21.95pt;height:41.45pt;width:131.4pt;z-index:251662336;mso-width-relative:page;mso-height-relative:page;" filled="f" stroked="f" coordsize="21600,21600" o:gfxdata="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HdDz1wAA&#10;AAoBAAAPAAAAAAAAAAEAIAAAACIAAABkcnMvZG93bnJldi54bWxQSwECFAAUAAAACACHTuJAVFpb&#10;660BAABQAwAADgAAAAAAAAABACAAAAAmAQAAZHJzL2Uyb0RvYy54bWxQSwUGAAAAAAYABgBZAQAA&#10;RQUAAAAA&#10;">
                <v:fill on="f" focussize="0,0"/>
                <v:stroke on="f"/>
                <v:imagedata o:title=""/>
                <o:lock v:ext="edit" aspectratio="f"/>
                <v:textbox>
                  <w:txbxContent>
                    <w:p>
                      <w:pPr>
                        <w:rPr>
                          <w:sz w:val="28"/>
                          <w:szCs w:val="28"/>
                        </w:rPr>
                      </w:pPr>
                      <w:r>
                        <w:rPr>
                          <w:rFonts w:hint="eastAsia"/>
                          <w:sz w:val="28"/>
                          <w:szCs w:val="28"/>
                        </w:rPr>
                        <w:t>发布标准的年代号</w:t>
                      </w:r>
                    </w:p>
                  </w:txbxContent>
                </v:textbox>
              </v:shape>
            </w:pict>
          </mc:Fallback>
        </mc:AlternateContent>
      </w:r>
      <w:r>
        <w:rPr>
          <w:rFonts w:hint="eastAsia" w:ascii="仿宋" w:hAnsi="仿宋" w:eastAsia="仿宋" w:cs="仿宋"/>
          <w:color w:val="auto"/>
          <w:sz w:val="30"/>
          <w:szCs w:val="30"/>
        </w:rPr>
        <w:t xml:space="preserve">T/ </w:t>
      </w:r>
      <w:r>
        <w:rPr>
          <w:rFonts w:hint="eastAsia" w:ascii="仿宋" w:hAnsi="仿宋" w:eastAsia="仿宋" w:cs="仿宋"/>
          <w:color w:val="auto"/>
          <w:kern w:val="0"/>
          <w:sz w:val="30"/>
          <w:szCs w:val="30"/>
        </w:rPr>
        <w:t>SDJSXH</w:t>
      </w:r>
      <w:r>
        <w:rPr>
          <w:rFonts w:hint="eastAsia" w:ascii="仿宋" w:hAnsi="仿宋" w:eastAsia="仿宋" w:cs="仿宋"/>
          <w:color w:val="auto"/>
          <w:sz w:val="30"/>
          <w:szCs w:val="30"/>
        </w:rPr>
        <w:t xml:space="preserve"> XXXXX—XXXX</w:t>
      </w:r>
    </w:p>
    <w:p>
      <w:pPr>
        <w:pStyle w:val="10"/>
        <w:numPr>
          <w:ilvl w:val="0"/>
          <w:numId w:val="0"/>
        </w:numPr>
        <w:rPr>
          <w:rFonts w:hint="eastAsia" w:ascii="仿宋" w:hAnsi="仿宋" w:eastAsia="仿宋" w:cs="仿宋"/>
          <w:color w:val="auto"/>
          <w:sz w:val="30"/>
          <w:szCs w:val="30"/>
        </w:rPr>
      </w:pPr>
      <w:r>
        <w:rPr>
          <w:rFonts w:hint="eastAsia" w:ascii="仿宋" w:hAnsi="仿宋" w:eastAsia="仿宋" w:cs="仿宋"/>
          <w:color w:val="auto"/>
          <w:sz w:val="30"/>
          <w:szCs w:val="30"/>
        </w:rPr>
        <mc:AlternateContent>
          <mc:Choice Requires="wps">
            <w:drawing>
              <wp:anchor distT="0" distB="0" distL="114300" distR="114300" simplePos="0" relativeHeight="251665408" behindDoc="0" locked="0" layoutInCell="1" allowOverlap="1">
                <wp:simplePos x="0" y="0"/>
                <wp:positionH relativeFrom="column">
                  <wp:posOffset>3811270</wp:posOffset>
                </wp:positionH>
                <wp:positionV relativeFrom="paragraph">
                  <wp:posOffset>735965</wp:posOffset>
                </wp:positionV>
                <wp:extent cx="980440" cy="4000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80440" cy="400050"/>
                        </a:xfrm>
                        <a:prstGeom prst="rect">
                          <a:avLst/>
                        </a:prstGeom>
                        <a:noFill/>
                        <a:ln>
                          <a:noFill/>
                        </a:ln>
                      </wps:spPr>
                      <wps:txbx>
                        <w:txbxContent>
                          <w:p>
                            <w:pPr>
                              <w:spacing w:line="240" w:lineRule="atLeast"/>
                              <w:rPr>
                                <w:sz w:val="28"/>
                                <w:szCs w:val="28"/>
                              </w:rPr>
                            </w:pPr>
                            <w:r>
                              <w:rPr>
                                <w:rFonts w:cs="宋体" w:asciiTheme="minorEastAsia" w:hAnsiTheme="minorEastAsia"/>
                                <w:color w:val="000000"/>
                                <w:kern w:val="0"/>
                                <w:sz w:val="28"/>
                                <w:szCs w:val="28"/>
                              </w:rPr>
                              <w:t>协会</w:t>
                            </w:r>
                            <w:r>
                              <w:rPr>
                                <w:rFonts w:hint="eastAsia"/>
                                <w:sz w:val="28"/>
                                <w:szCs w:val="28"/>
                              </w:rPr>
                              <w:t>代号</w:t>
                            </w:r>
                          </w:p>
                        </w:txbxContent>
                      </wps:txbx>
                      <wps:bodyPr upright="1"/>
                    </wps:wsp>
                  </a:graphicData>
                </a:graphic>
              </wp:anchor>
            </w:drawing>
          </mc:Choice>
          <mc:Fallback>
            <w:pict>
              <v:shape id="_x0000_s1026" o:spid="_x0000_s1026" o:spt="202" type="#_x0000_t202" style="position:absolute;left:0pt;margin-left:300.1pt;margin-top:57.95pt;height:31.5pt;width:77.2pt;z-index:251665408;mso-width-relative:page;mso-height-relative:page;" filled="f" stroked="f" coordsize="21600,21600" o:gfxdata="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kWdLzXAAAA&#10;CwEAAA8AAAAAAAAAAQAgAAAAIgAAAGRycy9kb3ducmV2LnhtbFBLAQIUABQAAAAIAIdO4kBkH218&#10;rAEAAE0DAAAOAAAAAAAAAAEAIAAAACYBAABkcnMvZTJvRG9jLnhtbFBLBQYAAAAABgAGAFkBAABE&#10;BQAAAAA=&#10;">
                <v:fill on="f" focussize="0,0"/>
                <v:stroke on="f"/>
                <v:imagedata o:title=""/>
                <o:lock v:ext="edit" aspectratio="f"/>
                <v:textbox>
                  <w:txbxContent>
                    <w:p>
                      <w:pPr>
                        <w:spacing w:line="240" w:lineRule="atLeast"/>
                        <w:rPr>
                          <w:sz w:val="28"/>
                          <w:szCs w:val="28"/>
                        </w:rPr>
                      </w:pPr>
                      <w:r>
                        <w:rPr>
                          <w:rFonts w:cs="宋体" w:asciiTheme="minorEastAsia" w:hAnsiTheme="minorEastAsia"/>
                          <w:color w:val="000000"/>
                          <w:kern w:val="0"/>
                          <w:sz w:val="28"/>
                          <w:szCs w:val="28"/>
                        </w:rPr>
                        <w:t>协会</w:t>
                      </w:r>
                      <w:r>
                        <w:rPr>
                          <w:rFonts w:hint="eastAsia"/>
                          <w:sz w:val="28"/>
                          <w:szCs w:val="28"/>
                        </w:rPr>
                        <w:t>代号</w:t>
                      </w:r>
                    </w:p>
                  </w:txbxContent>
                </v:textbox>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66432" behindDoc="0" locked="0" layoutInCell="1" allowOverlap="1">
                <wp:simplePos x="0" y="0"/>
                <wp:positionH relativeFrom="column">
                  <wp:posOffset>3811270</wp:posOffset>
                </wp:positionH>
                <wp:positionV relativeFrom="paragraph">
                  <wp:posOffset>1193165</wp:posOffset>
                </wp:positionV>
                <wp:extent cx="1849755" cy="4667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49755" cy="466725"/>
                        </a:xfrm>
                        <a:prstGeom prst="rect">
                          <a:avLst/>
                        </a:prstGeom>
                        <a:noFill/>
                        <a:ln>
                          <a:noFill/>
                        </a:ln>
                      </wps:spPr>
                      <wps:txbx>
                        <w:txbxContent>
                          <w:p>
                            <w:pPr>
                              <w:rPr>
                                <w:sz w:val="28"/>
                                <w:szCs w:val="28"/>
                              </w:rPr>
                            </w:pPr>
                            <w:r>
                              <w:rPr>
                                <w:rFonts w:hint="eastAsia"/>
                                <w:sz w:val="28"/>
                                <w:szCs w:val="28"/>
                              </w:rPr>
                              <w:t>团体标准代号</w:t>
                            </w:r>
                          </w:p>
                        </w:txbxContent>
                      </wps:txbx>
                      <wps:bodyPr upright="1"/>
                    </wps:wsp>
                  </a:graphicData>
                </a:graphic>
              </wp:anchor>
            </w:drawing>
          </mc:Choice>
          <mc:Fallback>
            <w:pict>
              <v:shape id="_x0000_s1026" o:spid="_x0000_s1026" o:spt="202" type="#_x0000_t202" style="position:absolute;left:0pt;margin-left:300.1pt;margin-top:93.95pt;height:36.75pt;width:145.65pt;z-index:251666432;mso-width-relative:page;mso-height-relative:page;" filled="f" stroked="f" coordsize="21600,21600" o:gfxdata="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cWueLY&#10;AAAACwEAAA8AAAAAAAAAAQAgAAAAIgAAAGRycy9kb3ducmV2LnhtbFBLAQIUABQAAAAIAIdO4kBk&#10;731crgEAAFADAAAOAAAAAAAAAAEAIAAAACcBAABkcnMvZTJvRG9jLnhtbFBLBQYAAAAABgAGAFkB&#10;AABHBQAAAAA=&#10;">
                <v:fill on="f" focussize="0,0"/>
                <v:stroke on="f"/>
                <v:imagedata o:title=""/>
                <o:lock v:ext="edit" aspectratio="f"/>
                <v:textbox>
                  <w:txbxContent>
                    <w:p>
                      <w:pPr>
                        <w:rPr>
                          <w:sz w:val="28"/>
                          <w:szCs w:val="28"/>
                        </w:rPr>
                      </w:pPr>
                      <w:r>
                        <w:rPr>
                          <w:rFonts w:hint="eastAsia"/>
                          <w:sz w:val="28"/>
                          <w:szCs w:val="28"/>
                        </w:rPr>
                        <w:t>团体标准代号</w:t>
                      </w:r>
                    </w:p>
                  </w:txbxContent>
                </v:textbox>
              </v:shape>
            </w:pict>
          </mc:Fallback>
        </mc:AlternateContent>
      </w:r>
      <w:r>
        <w:rPr>
          <w:rFonts w:hint="eastAsia" w:ascii="仿宋" w:hAnsi="仿宋" w:eastAsia="仿宋" w:cs="仿宋"/>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3735070</wp:posOffset>
                </wp:positionH>
                <wp:positionV relativeFrom="paragraph">
                  <wp:posOffset>350520</wp:posOffset>
                </wp:positionV>
                <wp:extent cx="1630045" cy="4432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30045" cy="443230"/>
                        </a:xfrm>
                        <a:prstGeom prst="rect">
                          <a:avLst/>
                        </a:prstGeom>
                        <a:noFill/>
                        <a:ln>
                          <a:noFill/>
                        </a:ln>
                      </wps:spPr>
                      <wps:txbx>
                        <w:txbxContent>
                          <w:p>
                            <w:pPr>
                              <w:rPr>
                                <w:sz w:val="28"/>
                                <w:szCs w:val="28"/>
                              </w:rPr>
                            </w:pPr>
                            <w:r>
                              <w:rPr>
                                <w:rFonts w:hint="eastAsia"/>
                                <w:sz w:val="28"/>
                                <w:szCs w:val="28"/>
                              </w:rPr>
                              <w:t>发布标准的顺序号</w:t>
                            </w:r>
                          </w:p>
                        </w:txbxContent>
                      </wps:txbx>
                      <wps:bodyPr upright="1"/>
                    </wps:wsp>
                  </a:graphicData>
                </a:graphic>
              </wp:anchor>
            </w:drawing>
          </mc:Choice>
          <mc:Fallback>
            <w:pict>
              <v:shape id="_x0000_s1026" o:spid="_x0000_s1026" o:spt="202" type="#_x0000_t202" style="position:absolute;left:0pt;margin-left:294.1pt;margin-top:27.6pt;height:34.9pt;width:128.35pt;z-index:251664384;mso-width-relative:page;mso-height-relative:page;" filled="f" stroked="f" coordsize="21600,21600" o:gfxdata="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mVUC1gAA&#10;AAoBAAAPAAAAAAAAAAEAIAAAACIAAABkcnMvZG93bnJldi54bWxQSwECFAAUAAAACACHTuJAoMpW&#10;664BAABOAwAADgAAAAAAAAABACAAAAAlAQAAZHJzL2Uyb0RvYy54bWxQSwUGAAAAAAYABgBZAQAA&#10;RQUAAAAA&#10;">
                <v:fill on="f" focussize="0,0"/>
                <v:stroke on="f"/>
                <v:imagedata o:title=""/>
                <o:lock v:ext="edit" aspectratio="f"/>
                <v:textbox>
                  <w:txbxContent>
                    <w:p>
                      <w:pPr>
                        <w:rPr>
                          <w:sz w:val="28"/>
                          <w:szCs w:val="28"/>
                        </w:rPr>
                      </w:pPr>
                      <w:r>
                        <w:rPr>
                          <w:rFonts w:hint="eastAsia"/>
                          <w:sz w:val="28"/>
                          <w:szCs w:val="28"/>
                        </w:rPr>
                        <w:t>发布标准的顺序号</w:t>
                      </w:r>
                    </w:p>
                  </w:txbxContent>
                </v:textbox>
              </v:shape>
            </w:pict>
          </mc:Fallback>
        </mc:AlternateContent>
      </w:r>
    </w:p>
    <w:p>
      <w:pPr>
        <w:spacing w:line="360" w:lineRule="auto"/>
        <w:jc w:val="center"/>
        <w:rPr>
          <w:rFonts w:hint="eastAsia" w:ascii="仿宋" w:hAnsi="仿宋" w:eastAsia="仿宋" w:cs="仿宋"/>
          <w:color w:val="auto"/>
          <w:sz w:val="30"/>
          <w:szCs w:val="30"/>
        </w:rPr>
      </w:pPr>
    </w:p>
    <w:p>
      <w:pPr>
        <w:spacing w:line="360" w:lineRule="auto"/>
        <w:jc w:val="center"/>
        <w:rPr>
          <w:rFonts w:hint="eastAsia" w:ascii="仿宋" w:hAnsi="仿宋" w:eastAsia="仿宋" w:cs="仿宋"/>
          <w:color w:val="auto"/>
          <w:sz w:val="30"/>
          <w:szCs w:val="30"/>
        </w:rPr>
      </w:pPr>
    </w:p>
    <w:p>
      <w:pPr>
        <w:spacing w:line="360" w:lineRule="auto"/>
        <w:jc w:val="center"/>
        <w:rPr>
          <w:rFonts w:hint="eastAsia" w:ascii="仿宋" w:hAnsi="仿宋" w:eastAsia="仿宋" w:cs="仿宋"/>
          <w:color w:val="auto"/>
          <w:sz w:val="30"/>
          <w:szCs w:val="30"/>
        </w:rPr>
      </w:pPr>
    </w:p>
    <w:p>
      <w:pPr>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mc:AlternateContent>
          <mc:Choice Requires="wps">
            <w:drawing>
              <wp:anchor distT="0" distB="0" distL="114300" distR="114300" simplePos="0" relativeHeight="251667456" behindDoc="0" locked="0" layoutInCell="1" allowOverlap="1">
                <wp:simplePos x="0" y="0"/>
                <wp:positionH relativeFrom="column">
                  <wp:posOffset>3178175</wp:posOffset>
                </wp:positionH>
                <wp:positionV relativeFrom="paragraph">
                  <wp:posOffset>172720</wp:posOffset>
                </wp:positionV>
                <wp:extent cx="15875" cy="7620"/>
                <wp:effectExtent l="0" t="0" r="0" b="0"/>
                <wp:wrapNone/>
                <wp:docPr id="8" name="肘形连接符 8"/>
                <wp:cNvGraphicFramePr/>
                <a:graphic xmlns:a="http://schemas.openxmlformats.org/drawingml/2006/main">
                  <a:graphicData uri="http://schemas.microsoft.com/office/word/2010/wordprocessingShape">
                    <wps:wsp>
                      <wps:cNvCnPr/>
                      <wps:spPr>
                        <a:xfrm rot="10800000">
                          <a:off x="0" y="0"/>
                          <a:ext cx="15875" cy="7620"/>
                        </a:xfrm>
                        <a:prstGeom prst="bentConnector3">
                          <a:avLst>
                            <a:gd name="adj1" fmla="val 48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0.25pt;margin-top:13.6pt;height:0.6pt;width:1.25pt;rotation:11796480f;z-index:251667456;mso-width-relative:page;mso-height-relative:page;" filled="f" stroked="t" coordsize="21600,21600" o:gfxdata="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pObX3a&#10;AAAACQEAAA8AAAAAAAAAAQAgAAAAIgAAAGRycy9kb3ducmV2LnhtbFBLAQIUABQAAAAIAIdO4kCf&#10;BeaoHgIAACkEAAAOAAAAAAAAAAEAIAAAACkBAABkcnMvZTJvRG9jLnhtbFBLBQYAAAAABgAGAFkB&#10;AAC5BQAAAAA=&#10;" adj="10368">
                <v:fill on="f" focussize="0,0"/>
                <v:stroke color="#000000" joinstyle="miter"/>
                <v:imagedata o:title=""/>
                <o:lock v:ext="edit" aspectratio="f"/>
              </v:shape>
            </w:pict>
          </mc:Fallback>
        </mc:AlternateContent>
      </w:r>
      <w:r>
        <w:rPr>
          <w:rFonts w:hint="eastAsia" w:ascii="仿宋" w:hAnsi="仿宋" w:eastAsia="仿宋" w:cs="仿宋"/>
          <w:color w:val="auto"/>
          <w:sz w:val="30"/>
          <w:szCs w:val="30"/>
        </w:rPr>
        <w:t>示例：T/</w:t>
      </w:r>
      <w:r>
        <w:rPr>
          <w:rFonts w:hint="eastAsia" w:ascii="仿宋" w:hAnsi="仿宋" w:eastAsia="仿宋" w:cs="仿宋"/>
          <w:color w:val="auto"/>
          <w:kern w:val="0"/>
          <w:sz w:val="30"/>
          <w:szCs w:val="30"/>
        </w:rPr>
        <w:t xml:space="preserve"> SDJSXH </w:t>
      </w:r>
      <w:r>
        <w:rPr>
          <w:rFonts w:hint="eastAsia" w:ascii="仿宋" w:hAnsi="仿宋" w:eastAsia="仿宋" w:cs="仿宋"/>
          <w:color w:val="auto"/>
          <w:sz w:val="30"/>
          <w:szCs w:val="30"/>
        </w:rPr>
        <w:t>001—20</w:t>
      </w:r>
      <w:r>
        <w:rPr>
          <w:rFonts w:hint="eastAsia" w:ascii="仿宋" w:hAnsi="仿宋" w:eastAsia="仿宋" w:cs="仿宋"/>
          <w:color w:val="auto"/>
          <w:sz w:val="30"/>
          <w:szCs w:val="30"/>
          <w:lang w:val="en-US" w:eastAsia="zh-CN"/>
        </w:rPr>
        <w:t>22</w:t>
      </w:r>
    </w:p>
    <w:p>
      <w:pPr>
        <w:widowControl/>
        <w:shd w:val="clear" w:color="auto" w:fill="FFFFFF"/>
        <w:adjustRightInd w:val="0"/>
        <w:snapToGrid w:val="0"/>
        <w:spacing w:line="360" w:lineRule="auto"/>
        <w:ind w:firstLine="750" w:firstLineChars="25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val="en-US" w:eastAsia="zh-CN"/>
        </w:rPr>
        <w:t>七</w:t>
      </w:r>
      <w:r>
        <w:rPr>
          <w:rFonts w:hint="eastAsia" w:ascii="仿宋" w:hAnsi="仿宋" w:eastAsia="仿宋" w:cs="仿宋"/>
          <w:color w:val="auto"/>
          <w:kern w:val="0"/>
          <w:sz w:val="30"/>
          <w:szCs w:val="30"/>
        </w:rPr>
        <w:t>条 团体标准制定范围包括以下方面：</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（一）国家标准、行业标准、地方标准没有覆盖到的领域；</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（二）现行国家标准、行业标准、地方标准可细化的部分，可以明确的具体技术措施；</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（三）严于现行国家标准、行业标准、地方标准的专业标准；</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（四）各类规程、导则、指南、手册等。</w:t>
      </w:r>
    </w:p>
    <w:p>
      <w:pPr>
        <w:widowControl/>
        <w:shd w:val="clear" w:color="auto" w:fill="FFFFFF"/>
        <w:adjustRightInd w:val="0"/>
        <w:snapToGrid w:val="0"/>
        <w:spacing w:line="360" w:lineRule="auto"/>
        <w:jc w:val="center"/>
        <w:rPr>
          <w:rFonts w:hint="eastAsia" w:ascii="仿宋" w:hAnsi="仿宋" w:eastAsia="仿宋" w:cs="仿宋"/>
          <w:color w:val="auto"/>
          <w:kern w:val="0"/>
          <w:sz w:val="30"/>
          <w:szCs w:val="30"/>
        </w:rPr>
      </w:pPr>
    </w:p>
    <w:p>
      <w:pPr>
        <w:widowControl/>
        <w:shd w:val="clear" w:color="auto" w:fill="FFFFFF"/>
        <w:adjustRightInd w:val="0"/>
        <w:snapToGrid w:val="0"/>
        <w:spacing w:line="360" w:lineRule="auto"/>
        <w:jc w:val="center"/>
        <w:rPr>
          <w:rFonts w:hint="eastAsia" w:ascii="仿宋" w:hAnsi="仿宋" w:eastAsia="仿宋" w:cs="仿宋"/>
          <w:b/>
          <w:bCs/>
          <w:color w:val="auto"/>
          <w:kern w:val="0"/>
          <w:sz w:val="30"/>
          <w:szCs w:val="30"/>
        </w:rPr>
      </w:pPr>
      <w:r>
        <w:rPr>
          <w:rFonts w:hint="eastAsia" w:ascii="仿宋" w:hAnsi="仿宋" w:eastAsia="仿宋" w:cs="仿宋"/>
          <w:color w:val="auto"/>
          <w:kern w:val="0"/>
          <w:sz w:val="30"/>
          <w:szCs w:val="30"/>
          <w:lang w:val="en-US" w:eastAsia="zh-CN"/>
        </w:rPr>
        <w:t xml:space="preserve"> </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第二章 组织机构及职责</w:t>
      </w:r>
    </w:p>
    <w:p>
      <w:pPr>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val="en-US" w:eastAsia="zh-CN"/>
        </w:rPr>
        <w:t>八</w:t>
      </w:r>
      <w:r>
        <w:rPr>
          <w:rFonts w:hint="eastAsia" w:ascii="仿宋" w:hAnsi="仿宋" w:eastAsia="仿宋" w:cs="仿宋"/>
          <w:color w:val="auto"/>
          <w:kern w:val="0"/>
          <w:sz w:val="30"/>
          <w:szCs w:val="30"/>
        </w:rPr>
        <w:t>条 山东省建筑安全与设备管理协会（以下简称协会</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设立“协会标准化工作委员会”(简称“标委会”)，由协会秘书处承担标委会日常工作，负责团体标准的起草和日常管理工作。</w:t>
      </w:r>
    </w:p>
    <w:p>
      <w:pPr>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val="en-US" w:eastAsia="zh-CN"/>
        </w:rPr>
        <w:t>九</w:t>
      </w:r>
      <w:r>
        <w:rPr>
          <w:rFonts w:hint="eastAsia" w:ascii="仿宋" w:hAnsi="仿宋" w:eastAsia="仿宋" w:cs="仿宋"/>
          <w:color w:val="auto"/>
          <w:kern w:val="0"/>
          <w:sz w:val="30"/>
          <w:szCs w:val="30"/>
        </w:rPr>
        <w:t>条  团体标准</w:t>
      </w:r>
      <w:r>
        <w:rPr>
          <w:rFonts w:hint="eastAsia" w:ascii="仿宋" w:hAnsi="仿宋" w:eastAsia="仿宋" w:cs="仿宋"/>
          <w:color w:val="auto"/>
          <w:kern w:val="0"/>
          <w:sz w:val="30"/>
          <w:szCs w:val="30"/>
          <w:lang w:val="en-US" w:eastAsia="zh-CN"/>
        </w:rPr>
        <w:t>著作权</w:t>
      </w:r>
      <w:r>
        <w:rPr>
          <w:rFonts w:hint="eastAsia" w:ascii="仿宋" w:hAnsi="仿宋" w:eastAsia="仿宋" w:cs="仿宋"/>
          <w:color w:val="auto"/>
          <w:kern w:val="0"/>
          <w:sz w:val="30"/>
          <w:szCs w:val="30"/>
        </w:rPr>
        <w:t>归协会所有</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由协会负责出版发行，任何组织、个人未经同意，不得擅自印刷、销售。</w:t>
      </w:r>
    </w:p>
    <w:p>
      <w:pPr>
        <w:shd w:val="clear" w:color="auto" w:fill="FFFFFF"/>
        <w:adjustRightInd w:val="0"/>
        <w:snapToGrid w:val="0"/>
        <w:spacing w:line="360" w:lineRule="auto"/>
        <w:rPr>
          <w:rFonts w:hint="eastAsia" w:ascii="仿宋" w:hAnsi="仿宋" w:eastAsia="仿宋" w:cs="仿宋"/>
          <w:color w:val="auto"/>
          <w:kern w:val="0"/>
          <w:sz w:val="30"/>
          <w:szCs w:val="30"/>
        </w:rPr>
      </w:pPr>
    </w:p>
    <w:p>
      <w:pPr>
        <w:widowControl/>
        <w:shd w:val="clear" w:color="auto" w:fill="FFFFFF"/>
        <w:adjustRightInd w:val="0"/>
        <w:snapToGrid w:val="0"/>
        <w:spacing w:line="360" w:lineRule="auto"/>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第三章 工作程序</w:t>
      </w:r>
    </w:p>
    <w:p>
      <w:pPr>
        <w:spacing w:line="6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kern w:val="0"/>
          <w:sz w:val="30"/>
          <w:szCs w:val="30"/>
        </w:rPr>
        <w:t>第十条</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i w:val="0"/>
          <w:iCs w:val="0"/>
          <w:caps w:val="0"/>
          <w:color w:val="auto"/>
          <w:spacing w:val="15"/>
          <w:sz w:val="30"/>
          <w:szCs w:val="30"/>
        </w:rPr>
        <w:t>制定团体标准的一般程序包括：提案、立项、起草、征求意见、技术审查、批准、编号、发布、复审。</w:t>
      </w:r>
      <w:r>
        <w:rPr>
          <w:rFonts w:hint="eastAsia" w:ascii="仿宋" w:hAnsi="仿宋" w:eastAsia="仿宋" w:cs="仿宋"/>
          <w:color w:val="auto"/>
          <w:sz w:val="30"/>
          <w:szCs w:val="30"/>
        </w:rPr>
        <w:t>团体标准的起草周期一般不超过12个月。</w:t>
      </w:r>
    </w:p>
    <w:p>
      <w:pPr>
        <w:shd w:val="clear" w:color="auto" w:fill="FFFFFF"/>
        <w:adjustRightInd w:val="0"/>
        <w:snapToGrid w:val="0"/>
        <w:spacing w:line="360" w:lineRule="auto"/>
        <w:ind w:firstLine="600" w:firstLineChars="200"/>
        <w:rPr>
          <w:rFonts w:hint="eastAsia" w:ascii="仿宋" w:hAnsi="仿宋" w:eastAsia="仿宋" w:cs="仿宋"/>
          <w:b/>
          <w:color w:val="auto"/>
          <w:kern w:val="0"/>
          <w:sz w:val="30"/>
          <w:szCs w:val="30"/>
          <w:lang w:eastAsia="zh-CN"/>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val="en-US" w:eastAsia="zh-CN"/>
        </w:rPr>
        <w:t>一</w:t>
      </w:r>
      <w:r>
        <w:rPr>
          <w:rFonts w:hint="eastAsia" w:ascii="仿宋" w:hAnsi="仿宋" w:eastAsia="仿宋" w:cs="仿宋"/>
          <w:color w:val="auto"/>
          <w:kern w:val="0"/>
          <w:sz w:val="30"/>
          <w:szCs w:val="30"/>
        </w:rPr>
        <w:t>条 申请立项</w:t>
      </w:r>
      <w:r>
        <w:rPr>
          <w:rFonts w:hint="eastAsia" w:ascii="仿宋" w:hAnsi="仿宋" w:eastAsia="仿宋" w:cs="仿宋"/>
          <w:color w:val="auto"/>
          <w:kern w:val="0"/>
          <w:sz w:val="30"/>
          <w:szCs w:val="30"/>
          <w:lang w:eastAsia="zh-CN"/>
        </w:rPr>
        <w:t>：</w:t>
      </w:r>
    </w:p>
    <w:p>
      <w:pPr>
        <w:shd w:val="clear" w:color="auto" w:fill="FFFFFF"/>
        <w:adjustRightInd w:val="0"/>
        <w:snapToGrid w:val="0"/>
        <w:spacing w:line="360" w:lineRule="auto"/>
        <w:ind w:firstLine="600" w:firstLineChars="200"/>
        <w:rPr>
          <w:rFonts w:hint="eastAsia" w:ascii="仿宋" w:hAnsi="仿宋" w:eastAsia="仿宋" w:cs="仿宋"/>
          <w:snapToGrid w:val="0"/>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一）</w:t>
      </w:r>
      <w:r>
        <w:rPr>
          <w:rFonts w:hint="eastAsia" w:ascii="仿宋" w:hAnsi="仿宋" w:eastAsia="仿宋" w:cs="仿宋"/>
          <w:color w:val="auto"/>
          <w:kern w:val="0"/>
          <w:sz w:val="30"/>
          <w:szCs w:val="30"/>
        </w:rPr>
        <w:t>协会</w:t>
      </w:r>
      <w:r>
        <w:rPr>
          <w:rFonts w:hint="eastAsia" w:ascii="仿宋" w:hAnsi="仿宋" w:eastAsia="仿宋" w:cs="仿宋"/>
          <w:snapToGrid w:val="0"/>
          <w:color w:val="auto"/>
          <w:kern w:val="0"/>
          <w:sz w:val="30"/>
          <w:szCs w:val="30"/>
        </w:rPr>
        <w:t>下属</w:t>
      </w:r>
      <w:r>
        <w:rPr>
          <w:rFonts w:hint="eastAsia" w:ascii="仿宋" w:hAnsi="仿宋" w:eastAsia="仿宋" w:cs="仿宋"/>
          <w:snapToGrid w:val="0"/>
          <w:color w:val="auto"/>
          <w:kern w:val="0"/>
          <w:sz w:val="30"/>
          <w:szCs w:val="30"/>
          <w:lang w:val="en-US" w:eastAsia="zh-CN"/>
        </w:rPr>
        <w:t>各</w:t>
      </w:r>
      <w:r>
        <w:rPr>
          <w:rFonts w:hint="eastAsia" w:ascii="仿宋" w:hAnsi="仿宋" w:eastAsia="仿宋" w:cs="仿宋"/>
          <w:snapToGrid w:val="0"/>
          <w:color w:val="auto"/>
          <w:kern w:val="0"/>
          <w:sz w:val="30"/>
          <w:szCs w:val="30"/>
        </w:rPr>
        <w:t>专业委员会及会员单位均可提出团体标准立项申请，并按要求填写团体标准立项申请书，报送标委会。</w:t>
      </w:r>
    </w:p>
    <w:p>
      <w:pPr>
        <w:shd w:val="clear" w:color="auto" w:fill="FFFFFF"/>
        <w:adjustRightInd w:val="0"/>
        <w:snapToGrid w:val="0"/>
        <w:spacing w:line="360" w:lineRule="auto"/>
        <w:ind w:firstLine="600" w:firstLineChars="200"/>
        <w:rPr>
          <w:rFonts w:hint="eastAsia" w:ascii="仿宋" w:hAnsi="仿宋" w:eastAsia="仿宋" w:cs="仿宋"/>
          <w:snapToGrid w:val="0"/>
          <w:color w:val="auto"/>
          <w:kern w:val="0"/>
          <w:sz w:val="30"/>
          <w:szCs w:val="30"/>
        </w:rPr>
      </w:pPr>
      <w:r>
        <w:rPr>
          <w:rFonts w:hint="eastAsia" w:ascii="仿宋" w:hAnsi="仿宋" w:eastAsia="仿宋" w:cs="仿宋"/>
          <w:snapToGrid w:val="0"/>
          <w:color w:val="auto"/>
          <w:kern w:val="0"/>
          <w:sz w:val="30"/>
          <w:szCs w:val="30"/>
          <w:lang w:eastAsia="zh-CN"/>
        </w:rPr>
        <w:t>（</w:t>
      </w:r>
      <w:r>
        <w:rPr>
          <w:rFonts w:hint="eastAsia" w:ascii="仿宋" w:hAnsi="仿宋" w:eastAsia="仿宋" w:cs="仿宋"/>
          <w:snapToGrid w:val="0"/>
          <w:color w:val="auto"/>
          <w:kern w:val="0"/>
          <w:sz w:val="30"/>
          <w:szCs w:val="30"/>
          <w:lang w:val="en-US" w:eastAsia="zh-CN"/>
        </w:rPr>
        <w:t>二）</w:t>
      </w:r>
      <w:r>
        <w:rPr>
          <w:rFonts w:hint="eastAsia" w:ascii="仿宋" w:hAnsi="仿宋" w:eastAsia="仿宋" w:cs="仿宋"/>
          <w:snapToGrid w:val="0"/>
          <w:color w:val="auto"/>
          <w:kern w:val="0"/>
          <w:sz w:val="30"/>
          <w:szCs w:val="30"/>
        </w:rPr>
        <w:t>标委会将对立项标准的必要性、可行性等进行论证和审核，通过审核后，在协会官方网站上公示15个工作日。</w:t>
      </w:r>
    </w:p>
    <w:p>
      <w:pPr>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三）</w:t>
      </w:r>
      <w:r>
        <w:rPr>
          <w:rFonts w:hint="eastAsia" w:ascii="仿宋" w:hAnsi="仿宋" w:eastAsia="仿宋" w:cs="仿宋"/>
          <w:color w:val="auto"/>
          <w:kern w:val="0"/>
          <w:sz w:val="30"/>
          <w:szCs w:val="30"/>
        </w:rPr>
        <w:t>公示无异议后,由标委会</w:t>
      </w:r>
      <w:r>
        <w:rPr>
          <w:rFonts w:hint="eastAsia" w:ascii="仿宋" w:hAnsi="仿宋" w:eastAsia="仿宋" w:cs="仿宋"/>
          <w:bCs/>
          <w:color w:val="auto"/>
          <w:sz w:val="30"/>
          <w:szCs w:val="30"/>
        </w:rPr>
        <w:t>统一发文正式立项，并</w:t>
      </w:r>
      <w:r>
        <w:rPr>
          <w:rFonts w:hint="eastAsia" w:ascii="仿宋" w:hAnsi="仿宋" w:eastAsia="仿宋" w:cs="仿宋"/>
          <w:color w:val="auto"/>
          <w:kern w:val="0"/>
          <w:sz w:val="30"/>
          <w:szCs w:val="30"/>
        </w:rPr>
        <w:t>下达标准制定计划。</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四）标</w:t>
      </w:r>
      <w:r>
        <w:rPr>
          <w:rFonts w:hint="eastAsia" w:ascii="仿宋" w:hAnsi="仿宋" w:eastAsia="仿宋" w:cs="仿宋"/>
          <w:color w:val="auto"/>
          <w:kern w:val="0"/>
          <w:sz w:val="30"/>
          <w:szCs w:val="30"/>
        </w:rPr>
        <w:t>委会按照制定计划组织标准的起草工作</w:t>
      </w:r>
      <w:r>
        <w:rPr>
          <w:rFonts w:hint="eastAsia" w:ascii="仿宋" w:hAnsi="仿宋" w:eastAsia="仿宋" w:cs="仿宋"/>
          <w:bCs/>
          <w:color w:val="auto"/>
          <w:sz w:val="30"/>
          <w:szCs w:val="30"/>
        </w:rPr>
        <w:t>。</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val="en-US" w:eastAsia="zh-CN"/>
        </w:rPr>
        <w:t>二</w:t>
      </w:r>
      <w:r>
        <w:rPr>
          <w:rFonts w:hint="eastAsia" w:ascii="仿宋" w:hAnsi="仿宋" w:eastAsia="仿宋" w:cs="仿宋"/>
          <w:color w:val="auto"/>
          <w:kern w:val="0"/>
          <w:sz w:val="30"/>
          <w:szCs w:val="30"/>
        </w:rPr>
        <w:t>条 标准起草</w:t>
      </w:r>
      <w:r>
        <w:rPr>
          <w:rFonts w:hint="eastAsia" w:ascii="仿宋" w:hAnsi="仿宋" w:eastAsia="仿宋" w:cs="仿宋"/>
          <w:color w:val="auto"/>
          <w:kern w:val="0"/>
          <w:sz w:val="30"/>
          <w:szCs w:val="30"/>
          <w:lang w:eastAsia="zh-CN"/>
        </w:rPr>
        <w:t>：</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一）</w:t>
      </w:r>
      <w:r>
        <w:rPr>
          <w:rFonts w:hint="eastAsia" w:ascii="仿宋" w:hAnsi="仿宋" w:eastAsia="仿宋" w:cs="仿宋"/>
          <w:color w:val="auto"/>
          <w:kern w:val="0"/>
          <w:sz w:val="30"/>
          <w:szCs w:val="30"/>
        </w:rPr>
        <w:t>团体标准的主编单位根据制修订计划尽快成立起草工作组，将工作组成员名单报标委会存档。工作组应采用开放式自愿参与原则组建,体现广泛的代表性。</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团体标准编写应符合 GB/T 1.1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2020</w:t>
      </w:r>
      <w:r>
        <w:rPr>
          <w:rFonts w:hint="eastAsia" w:ascii="仿宋" w:hAnsi="仿宋" w:eastAsia="仿宋" w:cs="仿宋"/>
          <w:color w:val="auto"/>
          <w:sz w:val="30"/>
          <w:szCs w:val="30"/>
        </w:rPr>
        <w:t>《标准化工作导则 第 1 部分：标准的结构和编写》等有关国家标准的规定</w:t>
      </w:r>
      <w:r>
        <w:rPr>
          <w:rFonts w:hint="eastAsia" w:ascii="仿宋" w:hAnsi="仿宋" w:eastAsia="仿宋" w:cs="仿宋"/>
          <w:color w:val="auto"/>
          <w:kern w:val="0"/>
          <w:sz w:val="30"/>
          <w:szCs w:val="30"/>
        </w:rPr>
        <w:t>。</w:t>
      </w:r>
    </w:p>
    <w:p>
      <w:pPr>
        <w:widowControl/>
        <w:shd w:val="clear" w:color="auto" w:fill="FFFFFF"/>
        <w:adjustRightInd w:val="0"/>
        <w:snapToGrid w:val="0"/>
        <w:spacing w:line="360" w:lineRule="auto"/>
        <w:ind w:firstLine="600" w:firstLineChars="200"/>
        <w:rPr>
          <w:rFonts w:hint="eastAsia" w:ascii="仿宋" w:hAnsi="仿宋" w:eastAsia="仿宋" w:cs="仿宋"/>
          <w:b/>
          <w:color w:val="auto"/>
          <w:sz w:val="30"/>
          <w:szCs w:val="30"/>
          <w:lang w:eastAsia="zh-CN"/>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val="en-US" w:eastAsia="zh-CN"/>
        </w:rPr>
        <w:t>三</w:t>
      </w:r>
      <w:r>
        <w:rPr>
          <w:rFonts w:hint="eastAsia" w:ascii="仿宋" w:hAnsi="仿宋" w:eastAsia="仿宋" w:cs="仿宋"/>
          <w:color w:val="auto"/>
          <w:kern w:val="0"/>
          <w:sz w:val="30"/>
          <w:szCs w:val="30"/>
        </w:rPr>
        <w:t xml:space="preserve">条 </w:t>
      </w:r>
      <w:r>
        <w:rPr>
          <w:rFonts w:hint="eastAsia" w:ascii="仿宋" w:hAnsi="仿宋" w:eastAsia="仿宋" w:cs="仿宋"/>
          <w:color w:val="auto"/>
          <w:sz w:val="30"/>
          <w:szCs w:val="30"/>
        </w:rPr>
        <w:t>征求意见</w:t>
      </w:r>
      <w:r>
        <w:rPr>
          <w:rFonts w:hint="eastAsia" w:ascii="仿宋" w:hAnsi="仿宋" w:eastAsia="仿宋" w:cs="仿宋"/>
          <w:color w:val="auto"/>
          <w:sz w:val="30"/>
          <w:szCs w:val="30"/>
          <w:lang w:eastAsia="zh-CN"/>
        </w:rPr>
        <w:t>：</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一）</w:t>
      </w:r>
      <w:r>
        <w:rPr>
          <w:rFonts w:hint="eastAsia" w:ascii="仿宋" w:hAnsi="仿宋" w:eastAsia="仿宋" w:cs="仿宋"/>
          <w:bCs/>
          <w:color w:val="auto"/>
          <w:sz w:val="30"/>
          <w:szCs w:val="30"/>
        </w:rPr>
        <w:t>标委会在协会官方网站上至少公告30个工作日，广泛征求社会意见。重要标准要在重点企业和科研院所中定向征求意见。</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二）</w:t>
      </w:r>
      <w:r>
        <w:rPr>
          <w:rFonts w:hint="eastAsia" w:ascii="仿宋" w:hAnsi="仿宋" w:eastAsia="仿宋" w:cs="仿宋"/>
          <w:bCs/>
          <w:color w:val="auto"/>
          <w:sz w:val="30"/>
          <w:szCs w:val="30"/>
        </w:rPr>
        <w:t>标准起草工作组应对征集的意见进行归纳整理，并在分析研究后做出处理，不采纳的应说明理由。标准征求意见稿修改后，技术内容有较大改变的，应再次征求意见。</w:t>
      </w:r>
    </w:p>
    <w:p>
      <w:pPr>
        <w:widowControl/>
        <w:shd w:val="clear" w:color="auto" w:fill="FFFFFF"/>
        <w:adjustRightInd w:val="0"/>
        <w:snapToGrid w:val="0"/>
        <w:spacing w:line="360" w:lineRule="auto"/>
        <w:ind w:firstLine="600" w:firstLineChars="200"/>
        <w:rPr>
          <w:rFonts w:hint="eastAsia" w:ascii="仿宋" w:hAnsi="仿宋" w:eastAsia="仿宋" w:cs="仿宋"/>
          <w:b/>
          <w:color w:val="auto"/>
          <w:sz w:val="30"/>
          <w:szCs w:val="30"/>
          <w:lang w:eastAsia="zh-CN"/>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val="en-US" w:eastAsia="zh-CN"/>
        </w:rPr>
        <w:t>四</w:t>
      </w:r>
      <w:r>
        <w:rPr>
          <w:rFonts w:hint="eastAsia" w:ascii="仿宋" w:hAnsi="仿宋" w:eastAsia="仿宋" w:cs="仿宋"/>
          <w:color w:val="auto"/>
          <w:kern w:val="0"/>
          <w:sz w:val="30"/>
          <w:szCs w:val="30"/>
        </w:rPr>
        <w:t>条 标准</w:t>
      </w:r>
      <w:r>
        <w:rPr>
          <w:rFonts w:hint="eastAsia" w:ascii="仿宋" w:hAnsi="仿宋" w:eastAsia="仿宋" w:cs="仿宋"/>
          <w:color w:val="auto"/>
          <w:sz w:val="30"/>
          <w:szCs w:val="30"/>
        </w:rPr>
        <w:t>审查</w:t>
      </w:r>
      <w:r>
        <w:rPr>
          <w:rFonts w:hint="eastAsia" w:ascii="仿宋" w:hAnsi="仿宋" w:eastAsia="仿宋" w:cs="仿宋"/>
          <w:color w:val="auto"/>
          <w:sz w:val="30"/>
          <w:szCs w:val="30"/>
          <w:lang w:eastAsia="zh-CN"/>
        </w:rPr>
        <w:t>：</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一）</w:t>
      </w:r>
      <w:r>
        <w:rPr>
          <w:rFonts w:hint="eastAsia" w:ascii="仿宋" w:hAnsi="仿宋" w:eastAsia="仿宋" w:cs="仿宋"/>
          <w:bCs/>
          <w:color w:val="auto"/>
          <w:sz w:val="30"/>
          <w:szCs w:val="30"/>
        </w:rPr>
        <w:t>团体标准的审查由标委会采用会审或函审形式组织进行，审查专家人数不少于</w:t>
      </w:r>
      <w:r>
        <w:rPr>
          <w:rFonts w:hint="eastAsia" w:ascii="仿宋" w:hAnsi="仿宋" w:eastAsia="仿宋" w:cs="仿宋"/>
          <w:bCs/>
          <w:color w:val="auto"/>
          <w:sz w:val="30"/>
          <w:szCs w:val="30"/>
          <w:lang w:val="en-US" w:eastAsia="zh-CN"/>
        </w:rPr>
        <w:t>7</w:t>
      </w:r>
      <w:r>
        <w:rPr>
          <w:rFonts w:hint="eastAsia" w:ascii="仿宋" w:hAnsi="仿宋" w:eastAsia="仿宋" w:cs="仿宋"/>
          <w:bCs/>
          <w:color w:val="auto"/>
          <w:sz w:val="30"/>
          <w:szCs w:val="30"/>
        </w:rPr>
        <w:t>人，表决结果必须有全体审查专家的四分之三以上同意方为通过。团体标准的起草人不能参加表决。</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二）</w:t>
      </w:r>
      <w:r>
        <w:rPr>
          <w:rFonts w:hint="eastAsia" w:ascii="仿宋" w:hAnsi="仿宋" w:eastAsia="仿宋" w:cs="仿宋"/>
          <w:bCs/>
          <w:color w:val="auto"/>
          <w:sz w:val="30"/>
          <w:szCs w:val="30"/>
        </w:rPr>
        <w:t>标准审查应编写会议纪要, 填写《标准送审稿会/函审结论表》，并附参加审查会审查委员名单及签字。</w:t>
      </w:r>
    </w:p>
    <w:p>
      <w:pPr>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三）</w:t>
      </w:r>
      <w:r>
        <w:rPr>
          <w:rFonts w:hint="eastAsia" w:ascii="仿宋" w:hAnsi="仿宋" w:eastAsia="仿宋" w:cs="仿宋"/>
          <w:color w:val="auto"/>
          <w:kern w:val="0"/>
          <w:sz w:val="30"/>
          <w:szCs w:val="30"/>
        </w:rPr>
        <w:t>通过审查的团体标准，由标委会报送协会</w:t>
      </w:r>
      <w:r>
        <w:rPr>
          <w:rFonts w:hint="eastAsia" w:ascii="仿宋" w:hAnsi="仿宋" w:eastAsia="仿宋" w:cs="仿宋"/>
          <w:color w:val="auto"/>
          <w:kern w:val="0"/>
          <w:sz w:val="30"/>
          <w:szCs w:val="30"/>
          <w:lang w:val="en-US" w:eastAsia="zh-CN"/>
        </w:rPr>
        <w:t>秘书处</w:t>
      </w:r>
      <w:r>
        <w:rPr>
          <w:rFonts w:hint="eastAsia" w:ascii="仿宋" w:hAnsi="仿宋" w:eastAsia="仿宋" w:cs="仿宋"/>
          <w:color w:val="auto"/>
          <w:kern w:val="0"/>
          <w:sz w:val="30"/>
          <w:szCs w:val="30"/>
        </w:rPr>
        <w:t>发放标准编号，并签发。</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val="en-US" w:eastAsia="zh-CN"/>
        </w:rPr>
        <w:t>五</w:t>
      </w:r>
      <w:r>
        <w:rPr>
          <w:rFonts w:hint="eastAsia" w:ascii="仿宋" w:hAnsi="仿宋" w:eastAsia="仿宋" w:cs="仿宋"/>
          <w:color w:val="auto"/>
          <w:kern w:val="0"/>
          <w:sz w:val="30"/>
          <w:szCs w:val="30"/>
        </w:rPr>
        <w:t>条 发布和存档</w:t>
      </w:r>
      <w:r>
        <w:rPr>
          <w:rFonts w:hint="eastAsia" w:ascii="仿宋" w:hAnsi="仿宋" w:eastAsia="仿宋" w:cs="仿宋"/>
          <w:color w:val="auto"/>
          <w:kern w:val="0"/>
          <w:sz w:val="30"/>
          <w:szCs w:val="30"/>
          <w:lang w:eastAsia="zh-CN"/>
        </w:rPr>
        <w:t>：</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一）</w:t>
      </w:r>
      <w:r>
        <w:rPr>
          <w:rFonts w:hint="eastAsia" w:ascii="仿宋" w:hAnsi="仿宋" w:eastAsia="仿宋" w:cs="仿宋"/>
          <w:color w:val="auto"/>
          <w:kern w:val="0"/>
          <w:sz w:val="30"/>
          <w:szCs w:val="30"/>
        </w:rPr>
        <w:t>获得批准的标准，</w:t>
      </w:r>
      <w:r>
        <w:rPr>
          <w:rFonts w:hint="eastAsia" w:ascii="仿宋" w:hAnsi="仿宋" w:eastAsia="仿宋" w:cs="仿宋"/>
          <w:bCs/>
          <w:color w:val="auto"/>
          <w:sz w:val="30"/>
          <w:szCs w:val="30"/>
        </w:rPr>
        <w:t>由</w:t>
      </w:r>
      <w:r>
        <w:rPr>
          <w:rFonts w:hint="eastAsia" w:ascii="仿宋" w:hAnsi="仿宋" w:eastAsia="仿宋" w:cs="仿宋"/>
          <w:color w:val="auto"/>
          <w:kern w:val="0"/>
          <w:sz w:val="30"/>
          <w:szCs w:val="30"/>
        </w:rPr>
        <w:t>协会</w:t>
      </w:r>
      <w:r>
        <w:rPr>
          <w:rFonts w:hint="eastAsia" w:ascii="仿宋" w:hAnsi="仿宋" w:eastAsia="仿宋" w:cs="仿宋"/>
          <w:bCs/>
          <w:color w:val="auto"/>
          <w:sz w:val="30"/>
          <w:szCs w:val="30"/>
        </w:rPr>
        <w:t>进行编辑性修改，</w:t>
      </w:r>
      <w:r>
        <w:rPr>
          <w:rFonts w:hint="eastAsia" w:ascii="仿宋" w:hAnsi="仿宋" w:eastAsia="仿宋" w:cs="仿宋"/>
          <w:color w:val="auto"/>
          <w:kern w:val="0"/>
          <w:sz w:val="30"/>
          <w:szCs w:val="30"/>
        </w:rPr>
        <w:t>负责在《全国团体标准信息平台》（http://www.ttbz.org.cn）发布，参照国家有关标准出版规定组织出版、发行并组织宣贯与培训。</w:t>
      </w:r>
    </w:p>
    <w:p>
      <w:pPr>
        <w:adjustRightInd w:val="0"/>
        <w:snapToGrid w:val="0"/>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二）</w:t>
      </w:r>
      <w:r>
        <w:rPr>
          <w:rFonts w:hint="eastAsia" w:ascii="仿宋" w:hAnsi="仿宋" w:eastAsia="仿宋" w:cs="仿宋"/>
          <w:bCs/>
          <w:color w:val="auto"/>
          <w:sz w:val="30"/>
          <w:szCs w:val="30"/>
        </w:rPr>
        <w:t>团体标准编制修订过程中形成的有关资料，由</w:t>
      </w:r>
      <w:r>
        <w:rPr>
          <w:rFonts w:hint="eastAsia" w:ascii="仿宋" w:hAnsi="仿宋" w:eastAsia="仿宋" w:cs="仿宋"/>
          <w:color w:val="auto"/>
          <w:kern w:val="0"/>
          <w:sz w:val="30"/>
          <w:szCs w:val="30"/>
        </w:rPr>
        <w:t>协会</w:t>
      </w:r>
      <w:r>
        <w:rPr>
          <w:rFonts w:hint="eastAsia" w:ascii="仿宋" w:hAnsi="仿宋" w:eastAsia="仿宋" w:cs="仿宋"/>
          <w:bCs/>
          <w:color w:val="auto"/>
          <w:sz w:val="30"/>
          <w:szCs w:val="30"/>
        </w:rPr>
        <w:t>按档案管理规定的要求存档，存档期限不少于10年。</w:t>
      </w:r>
    </w:p>
    <w:p>
      <w:pPr>
        <w:adjustRightInd w:val="0"/>
        <w:snapToGrid w:val="0"/>
        <w:spacing w:line="360" w:lineRule="auto"/>
        <w:ind w:firstLine="600" w:firstLineChars="200"/>
        <w:rPr>
          <w:rFonts w:hint="eastAsia" w:ascii="仿宋" w:hAnsi="仿宋" w:eastAsia="仿宋" w:cs="仿宋"/>
          <w:bCs/>
          <w:color w:val="auto"/>
          <w:sz w:val="30"/>
          <w:szCs w:val="30"/>
        </w:rPr>
      </w:pPr>
    </w:p>
    <w:p>
      <w:pPr>
        <w:widowControl/>
        <w:shd w:val="clear" w:color="auto" w:fill="FFFFFF"/>
        <w:adjustRightInd w:val="0"/>
        <w:snapToGrid w:val="0"/>
        <w:spacing w:line="360" w:lineRule="auto"/>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第四章 附  则</w:t>
      </w:r>
    </w:p>
    <w:p>
      <w:pPr>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第十</w:t>
      </w:r>
      <w:r>
        <w:rPr>
          <w:rFonts w:hint="eastAsia" w:ascii="仿宋" w:hAnsi="仿宋" w:eastAsia="仿宋" w:cs="仿宋"/>
          <w:color w:val="auto"/>
          <w:kern w:val="0"/>
          <w:sz w:val="30"/>
          <w:szCs w:val="30"/>
          <w:lang w:val="en-US" w:eastAsia="zh-CN"/>
        </w:rPr>
        <w:t>六</w:t>
      </w:r>
      <w:r>
        <w:rPr>
          <w:rFonts w:hint="eastAsia" w:ascii="仿宋" w:hAnsi="仿宋" w:eastAsia="仿宋" w:cs="仿宋"/>
          <w:color w:val="auto"/>
          <w:kern w:val="0"/>
          <w:sz w:val="30"/>
          <w:szCs w:val="30"/>
        </w:rPr>
        <w:t>条 本管理办法由协会</w:t>
      </w:r>
      <w:r>
        <w:rPr>
          <w:rFonts w:hint="eastAsia" w:ascii="仿宋" w:hAnsi="仿宋" w:eastAsia="仿宋" w:cs="仿宋"/>
          <w:color w:val="auto"/>
          <w:kern w:val="0"/>
          <w:sz w:val="30"/>
          <w:szCs w:val="30"/>
          <w:lang w:val="en-US" w:eastAsia="zh-CN"/>
        </w:rPr>
        <w:t>秘书处</w:t>
      </w:r>
      <w:r>
        <w:rPr>
          <w:rFonts w:hint="eastAsia" w:ascii="仿宋" w:hAnsi="仿宋" w:eastAsia="仿宋" w:cs="仿宋"/>
          <w:color w:val="auto"/>
          <w:kern w:val="0"/>
          <w:sz w:val="30"/>
          <w:szCs w:val="30"/>
        </w:rPr>
        <w:t>负责解释。</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color w:val="auto"/>
          <w:kern w:val="0"/>
          <w:sz w:val="30"/>
          <w:szCs w:val="30"/>
        </w:rPr>
        <w:t xml:space="preserve"> 第十</w:t>
      </w:r>
      <w:r>
        <w:rPr>
          <w:rFonts w:hint="eastAsia" w:ascii="仿宋" w:hAnsi="仿宋" w:eastAsia="仿宋" w:cs="仿宋"/>
          <w:color w:val="auto"/>
          <w:kern w:val="0"/>
          <w:sz w:val="30"/>
          <w:szCs w:val="30"/>
          <w:lang w:val="en-US" w:eastAsia="zh-CN"/>
        </w:rPr>
        <w:t>七</w:t>
      </w:r>
      <w:r>
        <w:rPr>
          <w:rFonts w:hint="eastAsia" w:ascii="仿宋" w:hAnsi="仿宋" w:eastAsia="仿宋" w:cs="仿宋"/>
          <w:color w:val="auto"/>
          <w:kern w:val="0"/>
          <w:sz w:val="30"/>
          <w:szCs w:val="30"/>
        </w:rPr>
        <w:t>条 本管理办法</w:t>
      </w:r>
      <w:r>
        <w:rPr>
          <w:rFonts w:hint="eastAsia" w:ascii="仿宋" w:hAnsi="仿宋" w:eastAsia="仿宋" w:cs="仿宋"/>
          <w:i w:val="0"/>
          <w:iCs w:val="0"/>
          <w:caps w:val="0"/>
          <w:color w:val="auto"/>
          <w:spacing w:val="0"/>
          <w:sz w:val="30"/>
          <w:szCs w:val="30"/>
          <w:shd w:val="clear" w:color="auto" w:fill="FFFFFF"/>
          <w:lang w:val="en-US" w:eastAsia="zh-CN"/>
        </w:rPr>
        <w:t>经第五次会员代表大会审议通过，自发布之日起施行。</w:t>
      </w:r>
    </w:p>
    <w:p>
      <w:pPr>
        <w:widowControl/>
        <w:shd w:val="clear" w:color="auto" w:fill="FFFFFF"/>
        <w:adjustRightInd w:val="0"/>
        <w:snapToGrid w:val="0"/>
        <w:spacing w:line="360" w:lineRule="auto"/>
        <w:ind w:firstLine="600" w:firstLineChars="200"/>
        <w:rPr>
          <w:rFonts w:hint="eastAsia" w:ascii="仿宋" w:hAnsi="仿宋" w:eastAsia="仿宋" w:cs="仿宋"/>
          <w:color w:val="auto"/>
          <w:kern w:val="0"/>
          <w:sz w:val="30"/>
          <w:szCs w:val="30"/>
        </w:rPr>
      </w:pPr>
    </w:p>
    <w:p>
      <w:pPr>
        <w:rPr>
          <w:rFonts w:hint="eastAsia" w:ascii="仿宋" w:hAnsi="仿宋" w:eastAsia="仿宋" w:cs="Arial"/>
          <w:color w:val="auto"/>
          <w:kern w:val="0"/>
          <w:sz w:val="32"/>
          <w:szCs w:val="32"/>
          <w:shd w:val="clear" w:color="auto" w:fill="FFFFFF"/>
          <w:lang w:val="en-US" w:eastAsia="zh-CN"/>
        </w:rPr>
      </w:pPr>
      <w:r>
        <w:rPr>
          <w:rFonts w:hint="eastAsia" w:ascii="仿宋" w:hAnsi="仿宋" w:eastAsia="仿宋" w:cs="Arial"/>
          <w:color w:val="auto"/>
          <w:kern w:val="0"/>
          <w:sz w:val="32"/>
          <w:szCs w:val="32"/>
          <w:shd w:val="clear" w:color="auto" w:fill="FFFFFF"/>
          <w:lang w:val="en-US" w:eastAsia="zh-CN"/>
        </w:rPr>
        <w:br w:type="page"/>
      </w:r>
    </w:p>
    <w:p>
      <w:pPr>
        <w:rPr>
          <w:rFonts w:hint="eastAsia" w:ascii="仿宋" w:hAnsi="仿宋" w:eastAsia="仿宋" w:cs="仿宋"/>
          <w:color w:val="auto"/>
          <w:sz w:val="30"/>
          <w:szCs w:val="30"/>
        </w:rPr>
      </w:pPr>
    </w:p>
    <w:p>
      <w:pPr>
        <w:ind w:firstLine="880" w:firstLineChars="200"/>
        <w:rPr>
          <w:rFonts w:hint="eastAsia" w:ascii="宋体" w:hAnsi="宋体" w:eastAsia="宋体" w:cs="宋体"/>
          <w:b/>
          <w:bCs/>
          <w:color w:val="auto"/>
          <w:sz w:val="44"/>
          <w:szCs w:val="44"/>
        </w:rPr>
      </w:pPr>
      <w:r>
        <w:rPr>
          <w:rFonts w:hint="eastAsia" w:ascii="宋体" w:hAnsi="宋体" w:eastAsia="宋体" w:cs="宋体"/>
          <w:b/>
          <w:bCs/>
          <w:color w:val="auto"/>
          <w:sz w:val="44"/>
          <w:szCs w:val="44"/>
        </w:rPr>
        <w:t>山东省建筑安全与设备管理协会</w:t>
      </w:r>
    </w:p>
    <w:p>
      <w:pPr>
        <w:ind w:firstLine="2200" w:firstLineChars="500"/>
        <w:rPr>
          <w:rFonts w:hint="eastAsia" w:ascii="宋体" w:hAnsi="宋体" w:eastAsia="宋体" w:cs="宋体"/>
          <w:b/>
          <w:bCs/>
          <w:color w:val="auto"/>
          <w:sz w:val="44"/>
          <w:szCs w:val="44"/>
        </w:rPr>
      </w:pPr>
      <w:r>
        <w:rPr>
          <w:rFonts w:hint="eastAsia" w:ascii="宋体" w:hAnsi="宋体" w:eastAsia="宋体" w:cs="宋体"/>
          <w:b/>
          <w:bCs/>
          <w:color w:val="auto"/>
          <w:sz w:val="44"/>
          <w:szCs w:val="44"/>
        </w:rPr>
        <w:t>专业委员会管理办法</w:t>
      </w:r>
    </w:p>
    <w:p>
      <w:pPr>
        <w:rPr>
          <w:rFonts w:hint="eastAsia" w:ascii="仿宋" w:hAnsi="仿宋" w:eastAsia="仿宋" w:cs="仿宋"/>
          <w:color w:val="auto"/>
          <w:sz w:val="30"/>
          <w:szCs w:val="30"/>
        </w:rPr>
      </w:pPr>
    </w:p>
    <w:p>
      <w:pPr>
        <w:jc w:val="center"/>
        <w:rPr>
          <w:rFonts w:hint="eastAsia" w:ascii="仿宋" w:hAnsi="仿宋" w:eastAsia="仿宋" w:cs="仿宋"/>
          <w:color w:val="auto"/>
          <w:sz w:val="30"/>
          <w:szCs w:val="30"/>
        </w:rPr>
      </w:pPr>
      <w:r>
        <w:rPr>
          <w:rFonts w:hint="eastAsia" w:ascii="仿宋" w:hAnsi="仿宋" w:eastAsia="仿宋" w:cs="仿宋"/>
          <w:b/>
          <w:bCs/>
          <w:color w:val="auto"/>
          <w:sz w:val="30"/>
          <w:szCs w:val="30"/>
        </w:rPr>
        <w:t>第一章  总  则</w:t>
      </w:r>
    </w:p>
    <w:p>
      <w:pPr>
        <w:rPr>
          <w:rFonts w:hint="eastAsia" w:ascii="仿宋" w:hAnsi="仿宋" w:eastAsia="仿宋" w:cs="仿宋"/>
          <w:color w:val="auto"/>
          <w:sz w:val="30"/>
          <w:szCs w:val="30"/>
        </w:rPr>
      </w:pPr>
      <w:r>
        <w:rPr>
          <w:rFonts w:hint="eastAsia" w:ascii="仿宋" w:hAnsi="仿宋" w:eastAsia="仿宋" w:cs="仿宋"/>
          <w:color w:val="auto"/>
          <w:sz w:val="30"/>
          <w:szCs w:val="30"/>
        </w:rPr>
        <w:t>　　第一条  为充分发挥山东省建筑安全与设备管理协会（以下简称协会）专业委员会的作用，根据《协会章程》，制定本办法。</w:t>
      </w:r>
    </w:p>
    <w:p>
      <w:pPr>
        <w:rPr>
          <w:rFonts w:hint="eastAsia" w:ascii="仿宋" w:hAnsi="仿宋" w:eastAsia="仿宋" w:cs="仿宋"/>
          <w:color w:val="auto"/>
          <w:sz w:val="30"/>
          <w:szCs w:val="30"/>
        </w:rPr>
      </w:pPr>
      <w:r>
        <w:rPr>
          <w:rFonts w:hint="eastAsia" w:ascii="仿宋" w:hAnsi="仿宋" w:eastAsia="仿宋" w:cs="仿宋"/>
          <w:color w:val="auto"/>
          <w:sz w:val="30"/>
          <w:szCs w:val="30"/>
        </w:rPr>
        <w:t>　　第二条  专业委员会是协会组成部分，不具有独立法人资格，在授权范围内开展活动。专业委员会的设立、注销或更名由协会理事会决定。</w:t>
      </w:r>
    </w:p>
    <w:p>
      <w:pPr>
        <w:rPr>
          <w:rFonts w:hint="eastAsia" w:ascii="仿宋" w:hAnsi="仿宋" w:eastAsia="仿宋" w:cs="仿宋"/>
          <w:color w:val="auto"/>
          <w:sz w:val="30"/>
          <w:szCs w:val="30"/>
        </w:rPr>
      </w:pPr>
      <w:r>
        <w:rPr>
          <w:rFonts w:hint="eastAsia" w:ascii="仿宋" w:hAnsi="仿宋" w:eastAsia="仿宋" w:cs="仿宋"/>
          <w:color w:val="auto"/>
          <w:sz w:val="30"/>
          <w:szCs w:val="30"/>
        </w:rPr>
        <w:t>　　第三条  专业委员会应当围绕协会“自律、服务、传导”职能，汇集行业智慧与资源，建设交流、议事和办事的平台，提升行业形象，提高市场效率，推动行业创新发展，增强行业核心竞争力，助力打造共建共治共享新格局。</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p>
    <w:p>
      <w:pPr>
        <w:jc w:val="center"/>
        <w:rPr>
          <w:rFonts w:hint="eastAsia" w:ascii="仿宋" w:hAnsi="仿宋" w:eastAsia="仿宋" w:cs="仿宋"/>
          <w:color w:val="auto"/>
          <w:sz w:val="30"/>
          <w:szCs w:val="30"/>
        </w:rPr>
      </w:pPr>
      <w:r>
        <w:rPr>
          <w:rFonts w:hint="eastAsia" w:ascii="仿宋" w:hAnsi="仿宋" w:eastAsia="仿宋" w:cs="仿宋"/>
          <w:b/>
          <w:bCs/>
          <w:color w:val="auto"/>
          <w:sz w:val="30"/>
          <w:szCs w:val="30"/>
        </w:rPr>
        <w:t>第二章  专业委员会的职责与构成</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条  专业委员会根据目标定位，履行以下全部或部分职责：</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（一）草拟自律规则、业务规范，并提出修改建议； </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（二）调查、收集、整理并反映行业动态、意见和建议；</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（三）对行业重点、难点、热点问题进行研究；</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（四）引导行业创新发展，协助开展业务和产品创新评估工作；</w:t>
      </w:r>
    </w:p>
    <w:p>
      <w:pPr>
        <w:rPr>
          <w:rFonts w:hint="eastAsia" w:ascii="仿宋" w:hAnsi="仿宋" w:eastAsia="仿宋" w:cs="仿宋"/>
          <w:color w:val="auto"/>
          <w:sz w:val="30"/>
          <w:szCs w:val="30"/>
        </w:rPr>
      </w:pPr>
      <w:r>
        <w:rPr>
          <w:rFonts w:hint="eastAsia" w:ascii="仿宋" w:hAnsi="仿宋" w:eastAsia="仿宋" w:cs="仿宋"/>
          <w:color w:val="auto"/>
          <w:sz w:val="30"/>
          <w:szCs w:val="30"/>
        </w:rPr>
        <w:t>　　（五）促进行业交流合作；</w:t>
      </w:r>
    </w:p>
    <w:p>
      <w:pPr>
        <w:rPr>
          <w:rFonts w:hint="eastAsia" w:ascii="仿宋" w:hAnsi="仿宋" w:eastAsia="仿宋" w:cs="仿宋"/>
          <w:color w:val="auto"/>
          <w:sz w:val="30"/>
          <w:szCs w:val="30"/>
        </w:rPr>
      </w:pPr>
      <w:r>
        <w:rPr>
          <w:rFonts w:hint="eastAsia" w:ascii="仿宋" w:hAnsi="仿宋" w:eastAsia="仿宋" w:cs="仿宋"/>
          <w:color w:val="auto"/>
          <w:sz w:val="30"/>
          <w:szCs w:val="30"/>
        </w:rPr>
        <w:t>　　（六）协会授权或委托的其他职责。</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条  专业委员会设主任委员1名，副主任委员3名，秘书长1名，原则上不超过1</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名。</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条  专业委员会根据工作需要，可以聘请会员单位专家、监管机构专家、具有较高社会影响力或者学术研究水平的专家、学者担任顾问。</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p>
    <w:p>
      <w:pPr>
        <w:ind w:firstLine="1200" w:firstLineChars="400"/>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专业委员会成员的产生、任免与职责</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七</w:t>
      </w:r>
      <w:r>
        <w:rPr>
          <w:rFonts w:hint="eastAsia" w:ascii="仿宋" w:hAnsi="仿宋" w:eastAsia="仿宋" w:cs="仿宋"/>
          <w:color w:val="auto"/>
          <w:sz w:val="30"/>
          <w:szCs w:val="30"/>
        </w:rPr>
        <w:t>条  担任专业委员会的委员、秘书长应当符合下列基本条件：</w:t>
      </w:r>
    </w:p>
    <w:p>
      <w:pPr>
        <w:rPr>
          <w:rFonts w:hint="eastAsia" w:ascii="仿宋" w:hAnsi="仿宋" w:eastAsia="仿宋" w:cs="仿宋"/>
          <w:color w:val="auto"/>
          <w:sz w:val="30"/>
          <w:szCs w:val="30"/>
        </w:rPr>
      </w:pPr>
      <w:r>
        <w:rPr>
          <w:rFonts w:hint="eastAsia" w:ascii="仿宋" w:hAnsi="仿宋" w:eastAsia="仿宋" w:cs="仿宋"/>
          <w:color w:val="auto"/>
          <w:sz w:val="30"/>
          <w:szCs w:val="30"/>
        </w:rPr>
        <w:t>　　　（一）拥护《协会章程》；</w:t>
      </w:r>
    </w:p>
    <w:p>
      <w:pPr>
        <w:rPr>
          <w:rFonts w:hint="eastAsia" w:ascii="仿宋" w:hAnsi="仿宋" w:eastAsia="仿宋" w:cs="仿宋"/>
          <w:color w:val="auto"/>
          <w:sz w:val="30"/>
          <w:szCs w:val="30"/>
        </w:rPr>
      </w:pPr>
      <w:r>
        <w:rPr>
          <w:rFonts w:hint="eastAsia" w:ascii="仿宋" w:hAnsi="仿宋" w:eastAsia="仿宋" w:cs="仿宋"/>
          <w:color w:val="auto"/>
          <w:sz w:val="30"/>
          <w:szCs w:val="30"/>
        </w:rPr>
        <w:t>　　　（二）关心行业发展，热心参与协会工作，有必要的时间和精力参加委员会的活动；</w:t>
      </w:r>
    </w:p>
    <w:p>
      <w:pPr>
        <w:rPr>
          <w:rFonts w:hint="eastAsia" w:ascii="仿宋" w:hAnsi="仿宋" w:eastAsia="仿宋" w:cs="仿宋"/>
          <w:color w:val="auto"/>
          <w:sz w:val="30"/>
          <w:szCs w:val="30"/>
        </w:rPr>
      </w:pPr>
      <w:r>
        <w:rPr>
          <w:rFonts w:hint="eastAsia" w:ascii="仿宋" w:hAnsi="仿宋" w:eastAsia="仿宋" w:cs="仿宋"/>
          <w:color w:val="auto"/>
          <w:sz w:val="30"/>
          <w:szCs w:val="30"/>
        </w:rPr>
        <w:t xml:space="preserve">　　　（三）具有较高的专业水平和丰富的相关从业经验； </w:t>
      </w:r>
    </w:p>
    <w:p>
      <w:pPr>
        <w:rPr>
          <w:rFonts w:hint="eastAsia" w:ascii="仿宋" w:hAnsi="仿宋" w:eastAsia="仿宋" w:cs="仿宋"/>
          <w:color w:val="auto"/>
          <w:sz w:val="30"/>
          <w:szCs w:val="30"/>
        </w:rPr>
      </w:pPr>
      <w:r>
        <w:rPr>
          <w:rFonts w:hint="eastAsia" w:ascii="仿宋" w:hAnsi="仿宋" w:eastAsia="仿宋" w:cs="仿宋"/>
          <w:color w:val="auto"/>
          <w:sz w:val="30"/>
          <w:szCs w:val="30"/>
        </w:rPr>
        <w:t>　　　（四）具有良好的职业道德，未受到重大处罚处分；</w:t>
      </w:r>
    </w:p>
    <w:p>
      <w:pPr>
        <w:rPr>
          <w:rFonts w:hint="eastAsia" w:ascii="仿宋" w:hAnsi="仿宋" w:eastAsia="仿宋" w:cs="仿宋"/>
          <w:color w:val="auto"/>
          <w:sz w:val="30"/>
          <w:szCs w:val="30"/>
        </w:rPr>
      </w:pPr>
      <w:r>
        <w:rPr>
          <w:rFonts w:hint="eastAsia" w:ascii="仿宋" w:hAnsi="仿宋" w:eastAsia="仿宋" w:cs="仿宋"/>
          <w:color w:val="auto"/>
          <w:sz w:val="30"/>
          <w:szCs w:val="30"/>
        </w:rPr>
        <w:t>　　　担任专业委员会主任委员、副主任委员的，除上述条件外，还应当符合下列条件：</w:t>
      </w:r>
    </w:p>
    <w:p>
      <w:pPr>
        <w:rPr>
          <w:rFonts w:hint="eastAsia" w:ascii="仿宋" w:hAnsi="仿宋" w:eastAsia="仿宋" w:cs="仿宋"/>
          <w:color w:val="auto"/>
          <w:sz w:val="30"/>
          <w:szCs w:val="30"/>
        </w:rPr>
      </w:pPr>
      <w:r>
        <w:rPr>
          <w:rFonts w:hint="eastAsia" w:ascii="仿宋" w:hAnsi="仿宋" w:eastAsia="仿宋" w:cs="仿宋"/>
          <w:color w:val="auto"/>
          <w:sz w:val="30"/>
          <w:szCs w:val="30"/>
        </w:rPr>
        <w:t>　　　（一）所在会员等单位在相关领域具有较强的代表性；</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在行业内具有较强的影响力和号召力；</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）具有良好的行业声誉。</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p>
    <w:p>
      <w:pPr>
        <w:rPr>
          <w:rFonts w:hint="eastAsia" w:ascii="仿宋" w:hAnsi="仿宋" w:eastAsia="仿宋" w:cs="仿宋"/>
          <w:color w:val="auto"/>
          <w:sz w:val="30"/>
          <w:szCs w:val="30"/>
        </w:rPr>
      </w:pPr>
      <w:r>
        <w:rPr>
          <w:rFonts w:hint="eastAsia" w:ascii="仿宋" w:hAnsi="仿宋" w:eastAsia="仿宋" w:cs="仿宋"/>
          <w:color w:val="auto"/>
          <w:sz w:val="30"/>
          <w:szCs w:val="30"/>
        </w:rPr>
        <w:t>　　　第八条  理事会通过设立专业委员会的决议后，将通过适当方式告知全体会员单位。</w:t>
      </w:r>
    </w:p>
    <w:p>
      <w:pPr>
        <w:rPr>
          <w:rFonts w:hint="eastAsia" w:ascii="仿宋" w:hAnsi="仿宋" w:eastAsia="仿宋" w:cs="仿宋"/>
          <w:color w:val="auto"/>
          <w:sz w:val="30"/>
          <w:szCs w:val="30"/>
        </w:rPr>
      </w:pPr>
      <w:r>
        <w:rPr>
          <w:rFonts w:hint="eastAsia" w:ascii="仿宋" w:hAnsi="仿宋" w:eastAsia="仿宋" w:cs="仿宋"/>
          <w:color w:val="auto"/>
          <w:sz w:val="30"/>
          <w:szCs w:val="30"/>
        </w:rPr>
        <w:t>　　　第九条  会员等单位推荐相关人员担任专业委员会职务的，应当向协会提交推荐函和该人员的简历。上述推荐函、简历、应加盖单位公章。</w:t>
      </w:r>
    </w:p>
    <w:p>
      <w:pPr>
        <w:rPr>
          <w:rFonts w:hint="eastAsia" w:ascii="仿宋" w:hAnsi="仿宋" w:eastAsia="仿宋" w:cs="仿宋"/>
          <w:color w:val="auto"/>
          <w:sz w:val="30"/>
          <w:szCs w:val="30"/>
        </w:rPr>
      </w:pPr>
      <w:r>
        <w:rPr>
          <w:rFonts w:hint="eastAsia" w:ascii="仿宋" w:hAnsi="仿宋" w:eastAsia="仿宋" w:cs="仿宋"/>
          <w:color w:val="auto"/>
          <w:sz w:val="30"/>
          <w:szCs w:val="30"/>
        </w:rPr>
        <w:t>　　　第十条  专业委员会主任委员、副主任委员由协会会长办公会提名，协会理事会聘任；主任委员、副主任委员以外的委员、顾问及秘书长由协会会长办公会聘任。专业委员会委员、顾问和秘书长的任期自聘任时起至当届理事会届满，可连选连任。</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第四章  工作规则</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十一</w:t>
      </w:r>
      <w:r>
        <w:rPr>
          <w:rFonts w:hint="eastAsia" w:ascii="仿宋" w:hAnsi="仿宋" w:eastAsia="仿宋" w:cs="仿宋"/>
          <w:color w:val="auto"/>
          <w:sz w:val="30"/>
          <w:szCs w:val="30"/>
        </w:rPr>
        <w:t>条  专业委员会应当制定年度工作计划，明确工作重点、时间进度和具体责任人。</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十二</w:t>
      </w:r>
      <w:r>
        <w:rPr>
          <w:rFonts w:hint="eastAsia" w:ascii="仿宋" w:hAnsi="仿宋" w:eastAsia="仿宋" w:cs="仿宋"/>
          <w:color w:val="auto"/>
          <w:sz w:val="30"/>
          <w:szCs w:val="30"/>
        </w:rPr>
        <w:t>条  专业委员会每年至少应当召开一次全体会议，出席会议的委员人数</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十三</w:t>
      </w:r>
      <w:r>
        <w:rPr>
          <w:rFonts w:hint="eastAsia" w:ascii="仿宋" w:hAnsi="仿宋" w:eastAsia="仿宋" w:cs="仿宋"/>
          <w:color w:val="auto"/>
          <w:sz w:val="30"/>
          <w:szCs w:val="30"/>
        </w:rPr>
        <w:t xml:space="preserve">条  专业委员会全体会议对议案进行表决的，按照一人一票的方式，经全体委员半数以上同意通过。 </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十四</w:t>
      </w:r>
      <w:r>
        <w:rPr>
          <w:rFonts w:hint="eastAsia" w:ascii="仿宋" w:hAnsi="仿宋" w:eastAsia="仿宋" w:cs="仿宋"/>
          <w:color w:val="auto"/>
          <w:sz w:val="30"/>
          <w:szCs w:val="30"/>
        </w:rPr>
        <w:t>条  专业委员会应当每年向理事会进行年度工作报告。</w:t>
      </w:r>
    </w:p>
    <w:p>
      <w:pPr>
        <w:jc w:val="center"/>
        <w:rPr>
          <w:rFonts w:hint="eastAsia" w:ascii="仿宋" w:hAnsi="仿宋" w:eastAsia="仿宋" w:cs="仿宋"/>
          <w:color w:val="auto"/>
          <w:sz w:val="30"/>
          <w:szCs w:val="30"/>
        </w:rPr>
      </w:pPr>
      <w:r>
        <w:rPr>
          <w:rFonts w:hint="eastAsia" w:ascii="仿宋" w:hAnsi="仿宋" w:eastAsia="仿宋" w:cs="仿宋"/>
          <w:b/>
          <w:bCs/>
          <w:color w:val="auto"/>
          <w:sz w:val="30"/>
          <w:szCs w:val="30"/>
        </w:rPr>
        <w:t>第五章  工作纪律</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十五</w:t>
      </w:r>
      <w:r>
        <w:rPr>
          <w:rFonts w:hint="eastAsia" w:ascii="仿宋" w:hAnsi="仿宋" w:eastAsia="仿宋" w:cs="仿宋"/>
          <w:color w:val="auto"/>
          <w:sz w:val="30"/>
          <w:szCs w:val="30"/>
        </w:rPr>
        <w:t>条  专业委员会的委员、秘书长参加委员会工作，应当客观公正，勤勉尽职、廉洁自律，不得谋取不当利益。</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十六</w:t>
      </w:r>
      <w:r>
        <w:rPr>
          <w:rFonts w:hint="eastAsia" w:ascii="仿宋" w:hAnsi="仿宋" w:eastAsia="仿宋" w:cs="仿宋"/>
          <w:color w:val="auto"/>
          <w:sz w:val="30"/>
          <w:szCs w:val="30"/>
        </w:rPr>
        <w:t>条  专业委员会委员、秘书长根据协会授权对外发表言论的，应当遵守协会相关要求。未经协会授权，任何人不得以委员会或委员会职务的名义对外发表言论，不得以协会或委员会的名义创建微信、微博等网络媒体账号并对外发布信息或发表言论。</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十七</w:t>
      </w:r>
      <w:r>
        <w:rPr>
          <w:rFonts w:hint="eastAsia" w:ascii="仿宋" w:hAnsi="仿宋" w:eastAsia="仿宋" w:cs="仿宋"/>
          <w:color w:val="auto"/>
          <w:sz w:val="30"/>
          <w:szCs w:val="30"/>
        </w:rPr>
        <w:t>条 对于为行业发展、协会工作或委员会工作作出突出贡献的委员，协会视情况给予下列奖励：</w:t>
      </w:r>
    </w:p>
    <w:p>
      <w:pPr>
        <w:rPr>
          <w:rFonts w:hint="eastAsia" w:ascii="仿宋" w:hAnsi="仿宋" w:eastAsia="仿宋" w:cs="仿宋"/>
          <w:color w:val="auto"/>
          <w:sz w:val="30"/>
          <w:szCs w:val="30"/>
        </w:rPr>
      </w:pPr>
      <w:r>
        <w:rPr>
          <w:rFonts w:hint="eastAsia" w:ascii="仿宋" w:hAnsi="仿宋" w:eastAsia="仿宋" w:cs="仿宋"/>
          <w:color w:val="auto"/>
          <w:sz w:val="30"/>
          <w:szCs w:val="30"/>
        </w:rPr>
        <w:t>　　　（一）向委员所在单位（或业务主管部门）发送表彰委员工作的表扬信，建议所在单位（或业务主管部门）给予适当奖励；</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优先参加协会组织的研讨会、培训班等；</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优先推荐参加协会组织的对外交流</w:t>
      </w:r>
      <w:r>
        <w:rPr>
          <w:rFonts w:hint="eastAsia" w:ascii="仿宋" w:hAnsi="仿宋" w:eastAsia="仿宋" w:cs="仿宋"/>
          <w:color w:val="auto"/>
          <w:sz w:val="30"/>
          <w:szCs w:val="30"/>
          <w:lang w:val="en-US" w:eastAsia="zh-CN"/>
        </w:rPr>
        <w:t>供需见面会</w:t>
      </w:r>
      <w:r>
        <w:rPr>
          <w:rFonts w:hint="eastAsia" w:ascii="仿宋" w:hAnsi="仿宋" w:eastAsia="仿宋" w:cs="仿宋"/>
          <w:color w:val="auto"/>
          <w:sz w:val="30"/>
          <w:szCs w:val="30"/>
        </w:rPr>
        <w:t>等；</w:t>
      </w:r>
    </w:p>
    <w:p>
      <w:pPr>
        <w:ind w:firstLine="606"/>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十八</w:t>
      </w:r>
      <w:r>
        <w:rPr>
          <w:rFonts w:hint="eastAsia" w:ascii="仿宋" w:hAnsi="仿宋" w:eastAsia="仿宋" w:cs="仿宋"/>
          <w:color w:val="auto"/>
          <w:sz w:val="30"/>
          <w:szCs w:val="30"/>
        </w:rPr>
        <w:t>条  对违反本办法规定的委员，协会视情况采取提醒、劝退或解聘等措施。</w:t>
      </w:r>
    </w:p>
    <w:p>
      <w:pPr>
        <w:ind w:firstLine="606"/>
        <w:rPr>
          <w:rFonts w:hint="eastAsia" w:ascii="仿宋" w:hAnsi="仿宋" w:eastAsia="仿宋" w:cs="仿宋"/>
          <w:color w:val="auto"/>
          <w:sz w:val="30"/>
          <w:szCs w:val="30"/>
        </w:rPr>
      </w:pP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第六章   附  则</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十九</w:t>
      </w:r>
      <w:r>
        <w:rPr>
          <w:rFonts w:hint="eastAsia" w:ascii="仿宋" w:hAnsi="仿宋" w:eastAsia="仿宋" w:cs="仿宋"/>
          <w:color w:val="auto"/>
          <w:sz w:val="30"/>
          <w:szCs w:val="30"/>
        </w:rPr>
        <w:t>条 本办法由协会</w:t>
      </w:r>
      <w:r>
        <w:rPr>
          <w:rFonts w:hint="eastAsia" w:ascii="仿宋" w:hAnsi="仿宋" w:eastAsia="仿宋" w:cs="仿宋"/>
          <w:color w:val="auto"/>
          <w:sz w:val="30"/>
          <w:szCs w:val="30"/>
          <w:lang w:val="en-US" w:eastAsia="zh-CN"/>
        </w:rPr>
        <w:t>秘书处</w:t>
      </w:r>
      <w:r>
        <w:rPr>
          <w:rFonts w:hint="eastAsia" w:ascii="仿宋" w:hAnsi="仿宋" w:eastAsia="仿宋" w:cs="仿宋"/>
          <w:color w:val="auto"/>
          <w:sz w:val="30"/>
          <w:szCs w:val="30"/>
        </w:rPr>
        <w:t>负责解释。</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color w:val="auto"/>
          <w:sz w:val="30"/>
          <w:szCs w:val="30"/>
        </w:rPr>
        <w:t xml:space="preserve">  第</w:t>
      </w:r>
      <w:r>
        <w:rPr>
          <w:rFonts w:hint="eastAsia" w:ascii="仿宋" w:hAnsi="仿宋" w:eastAsia="仿宋" w:cs="仿宋"/>
          <w:color w:val="auto"/>
          <w:sz w:val="30"/>
          <w:szCs w:val="30"/>
          <w:lang w:val="en-US" w:eastAsia="zh-CN"/>
        </w:rPr>
        <w:t>二十</w:t>
      </w:r>
      <w:r>
        <w:rPr>
          <w:rFonts w:hint="eastAsia" w:ascii="仿宋" w:hAnsi="仿宋" w:eastAsia="仿宋" w:cs="仿宋"/>
          <w:color w:val="auto"/>
          <w:sz w:val="30"/>
          <w:szCs w:val="30"/>
        </w:rPr>
        <w:t xml:space="preserve">条 </w:t>
      </w:r>
      <w:r>
        <w:rPr>
          <w:rFonts w:hint="eastAsia" w:ascii="仿宋" w:hAnsi="仿宋" w:eastAsia="仿宋" w:cs="仿宋"/>
          <w:i w:val="0"/>
          <w:iCs w:val="0"/>
          <w:caps w:val="0"/>
          <w:color w:val="auto"/>
          <w:spacing w:val="0"/>
          <w:sz w:val="30"/>
          <w:szCs w:val="30"/>
          <w:shd w:val="clear" w:color="auto" w:fill="FFFFFF"/>
          <w:lang w:val="en-US" w:eastAsia="zh-CN"/>
        </w:rPr>
        <w:t>本办法经第五次会员代表大会审议通过，自发布之日起施行。</w:t>
      </w:r>
    </w:p>
    <w:p>
      <w:pPr>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pPr>
        <w:rPr>
          <w:rFonts w:hint="eastAsia" w:ascii="仿宋" w:hAnsi="仿宋" w:eastAsia="仿宋" w:cs="仿宋"/>
          <w:color w:val="auto"/>
          <w:sz w:val="30"/>
          <w:szCs w:val="30"/>
        </w:rPr>
      </w:pPr>
    </w:p>
    <w:p>
      <w:pPr>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p>
    <w:p>
      <w:pPr>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i w:val="0"/>
          <w:iCs w:val="0"/>
          <w:caps w:val="0"/>
          <w:color w:val="auto"/>
          <w:spacing w:val="0"/>
          <w:sz w:val="30"/>
          <w:szCs w:val="30"/>
        </w:rPr>
        <w:t>​​</w:t>
      </w:r>
    </w:p>
    <w:p>
      <w:pPr>
        <w:jc w:val="center"/>
        <w:rPr>
          <w:rFonts w:hint="eastAsia" w:asciiTheme="majorEastAsia" w:hAnsiTheme="majorEastAsia" w:eastAsiaTheme="majorEastAsia" w:cstheme="majorEastAsia"/>
          <w:b/>
          <w:bCs/>
          <w:i w:val="0"/>
          <w:iCs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iCs w:val="0"/>
          <w:caps w:val="0"/>
          <w:color w:val="auto"/>
          <w:spacing w:val="0"/>
          <w:sz w:val="44"/>
          <w:szCs w:val="44"/>
          <w:shd w:val="clear" w:fill="FFFFFF"/>
          <w:lang w:val="en-US" w:eastAsia="zh-CN"/>
        </w:rPr>
        <w:t>山东省建筑安全与设备管理协会</w:t>
      </w:r>
    </w:p>
    <w:p>
      <w:pPr>
        <w:jc w:val="center"/>
        <w:rPr>
          <w:rFonts w:hint="eastAsia" w:asciiTheme="majorEastAsia" w:hAnsiTheme="majorEastAsia" w:eastAsiaTheme="majorEastAsia" w:cstheme="majorEastAsia"/>
          <w:b/>
          <w:bCs/>
          <w:i w:val="0"/>
          <w:iCs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iCs w:val="0"/>
          <w:caps w:val="0"/>
          <w:color w:val="auto"/>
          <w:spacing w:val="0"/>
          <w:sz w:val="44"/>
          <w:szCs w:val="44"/>
          <w:shd w:val="clear" w:fill="FFFFFF"/>
          <w:lang w:val="en-US" w:eastAsia="zh-CN"/>
        </w:rPr>
        <w:t>科技成果评价管理办法</w:t>
      </w:r>
    </w:p>
    <w:p>
      <w:pPr>
        <w:ind w:firstLine="2400" w:firstLineChars="800"/>
        <w:rPr>
          <w:rFonts w:hint="eastAsia" w:ascii="仿宋" w:hAnsi="仿宋" w:eastAsia="仿宋" w:cs="仿宋"/>
          <w:i w:val="0"/>
          <w:iCs w:val="0"/>
          <w:caps w:val="0"/>
          <w:color w:val="auto"/>
          <w:spacing w:val="0"/>
          <w:sz w:val="30"/>
          <w:szCs w:val="30"/>
          <w:shd w:val="clear"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第一章 总 则</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第一条 根据《中共中央国务院关于深化科技体制改革加快国家创新体系建设的意见》、《国务院办公厅关于完善科技成果评价机制的指导意见》等有关文件精神，为健全山东省建筑安全与设备管理协会（以下简称“协会”）安全科技管理体系，服务企事业单位、高等院校、科研院所等单位（以下统称“成果完成单位”）安全科技工作，规范协会科技成果评价活动，促进科技成果的推广应用，结合协会工作实际，制定本办法。</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第二条 本办法中的科技成果评价指：受成果完成单位委托，协会聘请行业专家，运用科学、可行的方式方法对委托单位的科技成果进行技术咨询和审查评价，做出相应结论的活动。</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第三条  科技成果评价工作坚持“依法依规、事实求是、客观公正、公开透明、注重质量、讲求实效”的原则，科学、客观和公平的开展，不受任何组织或个人的非法干涉。</w:t>
      </w:r>
    </w:p>
    <w:p>
      <w:pPr>
        <w:ind w:firstLine="606"/>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第四条  科技成果评价工作在协会的统一领导下，由协会秘书处组织开展。</w:t>
      </w:r>
    </w:p>
    <w:p>
      <w:pPr>
        <w:ind w:firstLine="606"/>
        <w:rPr>
          <w:rFonts w:hint="eastAsia" w:ascii="仿宋" w:hAnsi="仿宋" w:eastAsia="仿宋" w:cs="仿宋"/>
          <w:i w:val="0"/>
          <w:iCs w:val="0"/>
          <w:caps w:val="0"/>
          <w:color w:val="auto"/>
          <w:spacing w:val="0"/>
          <w:sz w:val="30"/>
          <w:szCs w:val="30"/>
          <w:shd w:val="clear"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第二章  范围及条件</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第五条 在建筑施工安全生产领域中的下列成果可申请：</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（一）列入政府科技发展计划的应用技术成果；</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（二）成果完成单位根据市场需求自选课题，自主或合作开发的应用技术成果；</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（三）列入科技计划的软科学研究成果；</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（四）可直接指导应用技术研究和开发并已表现出实际作用的基础理论成果。</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第六条 以下情况不受理：</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（一）自然科学中纯理论性的研究成果，主要表现形式为学术论文；</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（二）违反国家法律、法规，对社会公共利益、环境或资源造成危害的项目不受理评价申请。</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第七条  涉及国家秘密或企业商秘的科技成果，需依照相关保密规定进行脱密后，方可申请评价。</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第八条  申请评价的科技成果应当具备下列条件：</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（一）已完成科研项目合同或计划任务书规定的任务，并达到所要求的技术性能指标。一份项目合同或任务书所含技术内容，通常只能作为一项成果进行评价；</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（二）成果归属权无争议，完成单位和人员名次排列无异议；</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（三）技术文件与资料齐全，符合评价要求。</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第九条  科技成果的立项重要性、技术难度、创新性、指标先进性、可行性和应用情况是影响评价水平的关键因素，所拥有自主知识产权（专利和著作权）的数量和质量是成果创新性和先进性的重要佐证。</w:t>
      </w:r>
    </w:p>
    <w:p>
      <w:pPr>
        <w:ind w:firstLine="2700" w:firstLineChars="900"/>
        <w:rPr>
          <w:rFonts w:hint="eastAsia" w:ascii="仿宋" w:hAnsi="仿宋" w:eastAsia="仿宋" w:cs="仿宋"/>
          <w:i w:val="0"/>
          <w:iCs w:val="0"/>
          <w:caps w:val="0"/>
          <w:color w:val="auto"/>
          <w:spacing w:val="0"/>
          <w:sz w:val="30"/>
          <w:szCs w:val="30"/>
          <w:shd w:val="clear"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第三章 程序及形式</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第十条 成果完成单位向协会秘书处提交《科学技术成果评价申请表》（附后），经审核通过后正式启动评价工作，签订委托服务协议，确定服务内容、组织形式、费用等事项。</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第十一条委托服务协议签订后，成果完成单位按要求提交如下材料：</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评价技术资料：包括工作报告、研究报告（内容包括研发背景、研究内容、总体性能指标、成果的创新性、技术成熟程度、国内外情况对比分析、推广应用前景、经济效益社会效益分析及存在问题等）和应用报告；</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（二）权威部门出具的产品等检测分析报告（非产品不需要）；</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（三）产品质量标准（企业标准、行业标准、国家标准、国际标准、论文等）；</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（四）查新报告；</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（五）用户使用情况报告；</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（六）准确的完成单位（无知识产权争议）和主要完成人员名单（按贡献大小排序）。</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第十二条  形式审查内容：</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（一）资料是否齐全、完整、真实、准确，并符合评价规定；</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（二）是否属于安全生产领域；</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（三）是否符合国家安全生产发展规划及政策方向；</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（四）是否具有创新性、先进性、适用性及安全性；</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（五）成果是否具有应用价值和推广前景。</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第十三条  根据科技成果特点以及成果完成单位意愿，选择会议和函审（通讯）两种形式进行评价，两种形式具有同等效力。</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（一）会议评价。聘请行业专家5至15人组成评价专家组，通过现场会议或线上会议的方式，经三分之二以上专家同意后形成评价结论。应用类成果须增加实地考察、测试、答辩等环节。</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对于重大的应用成果，凡涉及工业性试验及工业化装置（设备），须聘请行业专家3至5人组成现场考核专家组，对装置（设备）进行72小时连续运行考核；委托相关专业技术检测机构进行检测的设备，以专业检测机构出具的检测报告为主要依据，不再进行现场考核。</w:t>
      </w:r>
    </w:p>
    <w:p>
      <w:pPr>
        <w:numPr>
          <w:ilvl w:val="0"/>
          <w:numId w:val="0"/>
        </w:numPr>
        <w:ind w:firstLine="600" w:firstLineChars="2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（二）函审（通讯）评价。聘请行业专家7至15人组成函审（通讯）评价小组，书面审查有关技术资料，经四分之三以上多数专家同意后形成评价结论。</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第十四条  经评价通过的科技成果，由协会颁发《科学技术成果评价证书》。</w:t>
      </w:r>
    </w:p>
    <w:p>
      <w:pPr>
        <w:ind w:firstLine="2400" w:firstLineChars="800"/>
        <w:rPr>
          <w:rFonts w:hint="eastAsia" w:ascii="仿宋" w:hAnsi="仿宋" w:eastAsia="仿宋" w:cs="仿宋"/>
          <w:i w:val="0"/>
          <w:iCs w:val="0"/>
          <w:caps w:val="0"/>
          <w:color w:val="auto"/>
          <w:spacing w:val="0"/>
          <w:sz w:val="30"/>
          <w:szCs w:val="30"/>
          <w:shd w:val="clear" w:fill="FFFFFF"/>
          <w:lang w:val="en-US" w:eastAsia="zh-CN"/>
        </w:rPr>
      </w:pPr>
    </w:p>
    <w:p>
      <w:pPr>
        <w:ind w:firstLine="3000" w:firstLineChars="10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第四章 专家组职责</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第十五条  评价专家组由企事业单位、高等院校、科研院所专家组成，体现不同单位、不同学术观点以及不同层次的代表性，同时具备下列条件：</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 熟悉被评价成果所属专业技术领域，具有丰富理论知识和实践经验，专业技术水平高，熟悉国内外该领域技术发展现状；</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（二）具有高级以上技术职称；</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（三） 具有一定的行业权威性；</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（四）具有良好的科学素养和职业道德；</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（五）科技成果完成单位的人员，不得作为专家组专家。</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第十六条 评价专家组组长和副组长须经全体组员表决推选，应具有行业较高的影响力和知名度、且为正高以上职称（包括教授级高工、教授和研究员等）。</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第十七条 专家组应遵守以下规定：</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（一）严格遵守国家有关法律法规，执行国家的有关政策规定，不以主观好恶或个人偏见行事，不以成见或偏见影响评估的客观性，不利用业务之便谋取个人私利；</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（二）在评价过程中，不受任何单位和个人的干预和影响，能够充分发表不同意见，有权拒绝在评价证书上签字，对评价结论负责；</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（三）自觉维护协会及成果完成单位的合法权益，严格履行保密义务，发现违纪行为时，可以提出终止评价的请求。</w:t>
      </w:r>
    </w:p>
    <w:p>
      <w:pPr>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第十八条  建立专家信誉制度和违规失误记录档案。评价工作结束后，对专家的公正性、客观性、工作态度等方面做如实记录，并保留原始评价资料。</w:t>
      </w:r>
    </w:p>
    <w:p>
      <w:pPr>
        <w:ind w:firstLine="3000" w:firstLineChars="1000"/>
        <w:rPr>
          <w:rFonts w:hint="eastAsia" w:ascii="仿宋" w:hAnsi="仿宋" w:eastAsia="仿宋" w:cs="仿宋"/>
          <w:i w:val="0"/>
          <w:iCs w:val="0"/>
          <w:caps w:val="0"/>
          <w:color w:val="auto"/>
          <w:spacing w:val="0"/>
          <w:sz w:val="30"/>
          <w:szCs w:val="30"/>
          <w:shd w:val="clear" w:fill="FFFFFF"/>
          <w:lang w:val="en-US" w:eastAsia="zh-CN"/>
        </w:rPr>
      </w:pPr>
    </w:p>
    <w:p>
      <w:pPr>
        <w:ind w:firstLine="3000" w:firstLineChars="1000"/>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第五章 附则</w:t>
      </w:r>
    </w:p>
    <w:p>
      <w:pPr>
        <w:ind w:firstLine="600" w:firstLineChars="200"/>
        <w:jc w:val="both"/>
        <w:rPr>
          <w:rFonts w:hint="eastAsia" w:ascii="仿宋" w:hAnsi="仿宋" w:eastAsia="仿宋" w:cs="仿宋"/>
          <w:i w:val="0"/>
          <w:iCs w:val="0"/>
          <w:caps w:val="0"/>
          <w:color w:val="auto"/>
          <w:spacing w:val="0"/>
          <w:sz w:val="30"/>
          <w:szCs w:val="30"/>
          <w:shd w:val="clear" w:color="auto"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 xml:space="preserve">第十九条 </w:t>
      </w:r>
      <w:r>
        <w:rPr>
          <w:rFonts w:hint="eastAsia" w:ascii="仿宋" w:hAnsi="仿宋" w:eastAsia="仿宋" w:cs="仿宋"/>
          <w:i w:val="0"/>
          <w:iCs w:val="0"/>
          <w:caps w:val="0"/>
          <w:color w:val="auto"/>
          <w:spacing w:val="0"/>
          <w:sz w:val="30"/>
          <w:szCs w:val="30"/>
          <w:shd w:val="clear" w:color="auto" w:fill="FFFFFF"/>
          <w:lang w:val="en-US" w:eastAsia="zh-CN"/>
        </w:rPr>
        <w:t>本办法经第五次会员代表大会审议通过，自发布之日起施行。</w:t>
      </w: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i w:val="0"/>
          <w:iCs w:val="0"/>
          <w:caps w:val="0"/>
          <w:color w:val="auto"/>
          <w:spacing w:val="0"/>
          <w:sz w:val="30"/>
          <w:szCs w:val="30"/>
          <w:shd w:val="clear" w:fill="FFFFFF"/>
          <w:lang w:val="en-US" w:eastAsia="zh-CN"/>
        </w:rPr>
      </w:pPr>
    </w:p>
    <w:p>
      <w:pPr>
        <w:ind w:left="539" w:leftChars="257"/>
        <w:jc w:val="right"/>
        <w:rPr>
          <w:rFonts w:hint="eastAsia" w:ascii="仿宋" w:hAnsi="仿宋" w:eastAsia="仿宋" w:cs="仿宋"/>
          <w:color w:val="auto"/>
          <w:sz w:val="30"/>
          <w:szCs w:val="30"/>
        </w:rPr>
      </w:pPr>
    </w:p>
    <w:p>
      <w:pPr>
        <w:ind w:left="539" w:leftChars="257"/>
        <w:jc w:val="right"/>
        <w:rPr>
          <w:rFonts w:hint="eastAsia" w:ascii="仿宋" w:hAnsi="仿宋" w:eastAsia="仿宋" w:cs="仿宋"/>
          <w:b/>
          <w:bCs/>
          <w:color w:val="auto"/>
          <w:sz w:val="30"/>
          <w:szCs w:val="30"/>
        </w:rPr>
      </w:pPr>
      <w:r>
        <w:rPr>
          <w:rFonts w:hint="eastAsia" w:ascii="仿宋" w:hAnsi="仿宋" w:eastAsia="仿宋" w:cs="仿宋"/>
          <w:color w:val="auto"/>
          <w:sz w:val="30"/>
          <w:szCs w:val="30"/>
        </w:rPr>
        <w:t>No. _________</w:t>
      </w:r>
    </w:p>
    <w:p>
      <w:pPr>
        <w:rPr>
          <w:rFonts w:hint="eastAsia" w:ascii="仿宋" w:hAnsi="仿宋" w:eastAsia="仿宋" w:cs="仿宋"/>
          <w:b/>
          <w:bCs/>
          <w:color w:val="auto"/>
          <w:sz w:val="30"/>
          <w:szCs w:val="30"/>
        </w:rPr>
      </w:pPr>
    </w:p>
    <w:p>
      <w:pPr>
        <w:ind w:left="539" w:leftChars="257"/>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科技成果评价申请表</w:t>
      </w: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b/>
          <w:bCs/>
          <w:color w:val="auto"/>
          <w:sz w:val="30"/>
          <w:szCs w:val="30"/>
        </w:rPr>
      </w:pPr>
      <w:r>
        <w:rPr>
          <w:rFonts w:hint="eastAsia" w:ascii="仿宋" w:hAnsi="仿宋" w:eastAsia="仿宋" w:cs="仿宋"/>
          <w:b/>
          <w:bCs/>
          <w:color w:val="auto"/>
          <w:sz w:val="30"/>
          <w:szCs w:val="30"/>
        </w:rPr>
        <w:t>成 果 名 称：</w:t>
      </w: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b/>
          <w:bCs/>
          <w:color w:val="auto"/>
          <w:sz w:val="30"/>
          <w:szCs w:val="30"/>
        </w:rPr>
      </w:pPr>
      <w:r>
        <w:rPr>
          <w:rFonts w:hint="eastAsia" w:ascii="仿宋" w:hAnsi="仿宋" w:eastAsia="仿宋" w:cs="仿宋"/>
          <w:b/>
          <w:bCs/>
          <w:color w:val="auto"/>
          <w:sz w:val="30"/>
          <w:szCs w:val="30"/>
        </w:rPr>
        <w:t>完 成 单 位：</w:t>
      </w:r>
    </w:p>
    <w:p>
      <w:pPr>
        <w:ind w:left="539" w:leftChars="257"/>
        <w:rPr>
          <w:rFonts w:hint="eastAsia" w:ascii="仿宋" w:hAnsi="仿宋" w:eastAsia="仿宋" w:cs="仿宋"/>
          <w:color w:val="auto"/>
          <w:sz w:val="30"/>
          <w:szCs w:val="30"/>
        </w:rPr>
      </w:pPr>
    </w:p>
    <w:p>
      <w:pPr>
        <w:rPr>
          <w:rFonts w:hint="eastAsia" w:ascii="仿宋" w:hAnsi="仿宋" w:eastAsia="仿宋" w:cs="仿宋"/>
          <w:color w:val="auto"/>
          <w:sz w:val="30"/>
          <w:szCs w:val="30"/>
        </w:rPr>
      </w:pPr>
    </w:p>
    <w:p>
      <w:pPr>
        <w:tabs>
          <w:tab w:val="left" w:pos="2160"/>
          <w:tab w:val="left" w:pos="2340"/>
        </w:tabs>
        <w:ind w:left="539" w:leftChars="257"/>
        <w:rPr>
          <w:rFonts w:hint="eastAsia" w:ascii="仿宋" w:hAnsi="仿宋" w:eastAsia="仿宋" w:cs="仿宋"/>
          <w:color w:val="auto"/>
          <w:sz w:val="30"/>
          <w:szCs w:val="30"/>
        </w:rPr>
      </w:pPr>
      <w:r>
        <w:rPr>
          <w:rFonts w:hint="eastAsia" w:ascii="仿宋" w:hAnsi="仿宋" w:eastAsia="仿宋" w:cs="仿宋"/>
          <w:b/>
          <w:bCs/>
          <w:color w:val="auto"/>
          <w:spacing w:val="46"/>
          <w:sz w:val="30"/>
          <w:szCs w:val="30"/>
        </w:rPr>
        <w:t>申请评价单位</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u w:val="single"/>
        </w:rPr>
        <w:t xml:space="preserve">    　　　    　　　    　 </w:t>
      </w:r>
      <w:r>
        <w:rPr>
          <w:rFonts w:hint="eastAsia" w:ascii="仿宋" w:hAnsi="仿宋" w:eastAsia="仿宋" w:cs="仿宋"/>
          <w:color w:val="auto"/>
          <w:sz w:val="30"/>
          <w:szCs w:val="30"/>
        </w:rPr>
        <w:t>(盖章)</w:t>
      </w:r>
    </w:p>
    <w:p>
      <w:pPr>
        <w:ind w:left="539" w:leftChars="257"/>
        <w:rPr>
          <w:rFonts w:hint="eastAsia" w:ascii="仿宋" w:hAnsi="仿宋" w:eastAsia="仿宋" w:cs="仿宋"/>
          <w:b/>
          <w:bCs/>
          <w:color w:val="auto"/>
          <w:sz w:val="30"/>
          <w:szCs w:val="30"/>
        </w:rPr>
      </w:pPr>
      <w:r>
        <w:rPr>
          <w:rFonts w:hint="eastAsia" w:ascii="仿宋" w:hAnsi="仿宋" w:eastAsia="仿宋" w:cs="仿宋"/>
          <w:b/>
          <w:bCs/>
          <w:color w:val="auto"/>
          <w:spacing w:val="46"/>
          <w:sz w:val="30"/>
          <w:szCs w:val="30"/>
        </w:rPr>
        <w:t>申请评价日期</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w:t>
      </w:r>
      <w:r>
        <w:rPr>
          <w:rFonts w:hint="eastAsia" w:ascii="仿宋" w:hAnsi="仿宋" w:eastAsia="仿宋" w:cs="仿宋"/>
          <w:b/>
          <w:bCs/>
          <w:color w:val="auto"/>
          <w:sz w:val="30"/>
          <w:szCs w:val="30"/>
        </w:rPr>
        <w:t>日</w:t>
      </w:r>
    </w:p>
    <w:p>
      <w:pPr>
        <w:ind w:left="539" w:leftChars="257"/>
        <w:rPr>
          <w:rFonts w:hint="eastAsia" w:ascii="仿宋" w:hAnsi="仿宋" w:eastAsia="仿宋" w:cs="仿宋"/>
          <w:color w:val="auto"/>
          <w:sz w:val="30"/>
          <w:szCs w:val="30"/>
        </w:rPr>
      </w:pPr>
      <w:r>
        <w:rPr>
          <w:rFonts w:hint="eastAsia" w:ascii="仿宋" w:hAnsi="仿宋" w:eastAsia="仿宋" w:cs="仿宋"/>
          <w:b/>
          <w:bCs/>
          <w:color w:val="auto"/>
          <w:sz w:val="30"/>
          <w:szCs w:val="30"/>
        </w:rPr>
        <w:t>申请组织评价机构：</w:t>
      </w:r>
      <w:r>
        <w:rPr>
          <w:rFonts w:hint="eastAsia" w:ascii="仿宋" w:hAnsi="仿宋" w:eastAsia="仿宋" w:cs="仿宋"/>
          <w:b/>
          <w:bCs/>
          <w:color w:val="auto"/>
          <w:sz w:val="30"/>
          <w:szCs w:val="30"/>
          <w:u w:val="single"/>
        </w:rPr>
        <w:t xml:space="preserve">    　　　    　　　    　　　</w:t>
      </w:r>
    </w:p>
    <w:p>
      <w:pPr>
        <w:ind w:left="539" w:leftChars="257"/>
        <w:rPr>
          <w:rFonts w:hint="eastAsia" w:ascii="仿宋" w:hAnsi="仿宋" w:eastAsia="仿宋" w:cs="仿宋"/>
          <w:b/>
          <w:bCs/>
          <w:color w:val="auto"/>
          <w:sz w:val="30"/>
          <w:szCs w:val="30"/>
        </w:rPr>
      </w:pPr>
      <w:r>
        <w:rPr>
          <w:rFonts w:hint="eastAsia" w:ascii="仿宋" w:hAnsi="仿宋" w:eastAsia="仿宋" w:cs="仿宋"/>
          <w:b/>
          <w:bCs/>
          <w:color w:val="auto"/>
          <w:sz w:val="30"/>
          <w:szCs w:val="30"/>
        </w:rPr>
        <w:t>评价机构受理日期：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w:t>
      </w:r>
      <w:r>
        <w:rPr>
          <w:rFonts w:hint="eastAsia" w:ascii="仿宋" w:hAnsi="仿宋" w:eastAsia="仿宋" w:cs="仿宋"/>
          <w:b/>
          <w:bCs/>
          <w:color w:val="auto"/>
          <w:sz w:val="30"/>
          <w:szCs w:val="30"/>
        </w:rPr>
        <w:t>日</w:t>
      </w:r>
    </w:p>
    <w:p>
      <w:pPr>
        <w:ind w:left="539" w:leftChars="257"/>
        <w:rPr>
          <w:rFonts w:hint="eastAsia" w:ascii="仿宋" w:hAnsi="仿宋" w:eastAsia="仿宋" w:cs="仿宋"/>
          <w:color w:val="auto"/>
          <w:sz w:val="30"/>
          <w:szCs w:val="30"/>
        </w:rPr>
      </w:pPr>
      <w:r>
        <w:rPr>
          <w:rFonts w:hint="eastAsia" w:ascii="仿宋" w:hAnsi="仿宋" w:eastAsia="仿宋" w:cs="仿宋"/>
          <w:b/>
          <w:bCs/>
          <w:color w:val="auto"/>
          <w:sz w:val="30"/>
          <w:szCs w:val="30"/>
        </w:rPr>
        <w:t>经办人：</w:t>
      </w:r>
      <w:r>
        <w:rPr>
          <w:rFonts w:hint="eastAsia" w:ascii="仿宋" w:hAnsi="仿宋" w:eastAsia="仿宋" w:cs="仿宋"/>
          <w:b/>
          <w:bCs/>
          <w:color w:val="auto"/>
          <w:sz w:val="30"/>
          <w:szCs w:val="30"/>
          <w:u w:val="single"/>
        </w:rPr>
        <w:t>　　　　　</w:t>
      </w:r>
      <w:r>
        <w:rPr>
          <w:rFonts w:hint="eastAsia" w:ascii="仿宋" w:hAnsi="仿宋" w:eastAsia="仿宋" w:cs="仿宋"/>
          <w:color w:val="auto"/>
          <w:sz w:val="30"/>
          <w:szCs w:val="30"/>
        </w:rPr>
        <w:t>　(签字)</w:t>
      </w: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color w:val="auto"/>
          <w:sz w:val="30"/>
          <w:szCs w:val="30"/>
        </w:rPr>
      </w:pPr>
    </w:p>
    <w:p>
      <w:pPr>
        <w:ind w:left="539" w:leftChars="257"/>
        <w:rPr>
          <w:rFonts w:hint="eastAsia" w:ascii="仿宋" w:hAnsi="仿宋" w:eastAsia="仿宋" w:cs="仿宋"/>
          <w:color w:val="auto"/>
          <w:sz w:val="30"/>
          <w:szCs w:val="30"/>
        </w:rPr>
      </w:pPr>
    </w:p>
    <w:p>
      <w:pPr>
        <w:pStyle w:val="3"/>
        <w:ind w:left="539" w:leftChars="257"/>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山东建筑安全与设备管理协会</w:t>
      </w:r>
    </w:p>
    <w:p>
      <w:pPr>
        <w:pStyle w:val="3"/>
        <w:ind w:left="539" w:leftChars="257"/>
        <w:jc w:val="center"/>
        <w:rPr>
          <w:rFonts w:hint="eastAsia" w:ascii="仿宋" w:hAnsi="仿宋" w:eastAsia="仿宋" w:cs="仿宋"/>
          <w:color w:val="auto"/>
          <w:sz w:val="30"/>
          <w:szCs w:val="30"/>
        </w:rPr>
      </w:pPr>
      <w:r>
        <w:rPr>
          <w:rFonts w:hint="eastAsia" w:ascii="仿宋" w:hAnsi="仿宋" w:eastAsia="仿宋" w:cs="仿宋"/>
          <w:color w:val="auto"/>
          <w:sz w:val="30"/>
          <w:szCs w:val="30"/>
        </w:rPr>
        <w:t>二○</w:t>
      </w:r>
      <w:r>
        <w:rPr>
          <w:rFonts w:hint="eastAsia" w:ascii="仿宋" w:hAnsi="仿宋" w:eastAsia="仿宋" w:cs="仿宋"/>
          <w:color w:val="auto"/>
          <w:sz w:val="30"/>
          <w:szCs w:val="30"/>
          <w:lang w:val="en-US" w:eastAsia="zh-CN"/>
        </w:rPr>
        <w:t>二二</w:t>
      </w:r>
      <w:r>
        <w:rPr>
          <w:rFonts w:hint="eastAsia" w:ascii="仿宋" w:hAnsi="仿宋" w:eastAsia="仿宋" w:cs="仿宋"/>
          <w:color w:val="auto"/>
          <w:sz w:val="30"/>
          <w:szCs w:val="30"/>
        </w:rPr>
        <w:t>年制</w:t>
      </w:r>
    </w:p>
    <w:tbl>
      <w:tblPr>
        <w:tblStyle w:val="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36"/>
        <w:gridCol w:w="1070"/>
        <w:gridCol w:w="799"/>
        <w:gridCol w:w="455"/>
        <w:gridCol w:w="4"/>
        <w:gridCol w:w="417"/>
        <w:gridCol w:w="180"/>
        <w:gridCol w:w="536"/>
        <w:gridCol w:w="727"/>
        <w:gridCol w:w="34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5" w:hRule="atLeast"/>
          <w:jc w:val="center"/>
        </w:trPr>
        <w:tc>
          <w:tcPr>
            <w:tcW w:w="2222" w:type="dxa"/>
            <w:gridSpan w:val="2"/>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科 技 成 果</w:t>
            </w:r>
          </w:p>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中 文 名 称</w:t>
            </w:r>
          </w:p>
        </w:tc>
        <w:tc>
          <w:tcPr>
            <w:tcW w:w="7414" w:type="dxa"/>
            <w:gridSpan w:val="10"/>
            <w:vAlign w:val="center"/>
          </w:tcPr>
          <w:p>
            <w:pPr>
              <w:jc w:val="right"/>
              <w:rPr>
                <w:rFonts w:hint="eastAsia" w:ascii="仿宋" w:hAnsi="仿宋" w:eastAsia="仿宋" w:cs="仿宋"/>
                <w:color w:val="auto"/>
                <w:sz w:val="30"/>
                <w:szCs w:val="30"/>
              </w:rPr>
            </w:pPr>
            <w:r>
              <w:rPr>
                <w:rFonts w:hint="eastAsia" w:ascii="仿宋" w:hAnsi="仿宋" w:eastAsia="仿宋" w:cs="仿宋"/>
                <w:color w:val="auto"/>
                <w:sz w:val="30"/>
                <w:szCs w:val="30"/>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222" w:type="dxa"/>
            <w:gridSpan w:val="2"/>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所属技术领域</w:t>
            </w:r>
          </w:p>
        </w:tc>
        <w:tc>
          <w:tcPr>
            <w:tcW w:w="7414" w:type="dxa"/>
            <w:gridSpan w:val="10"/>
            <w:vAlign w:val="center"/>
          </w:tcPr>
          <w:p>
            <w:pPr>
              <w:wordWrap w:val="0"/>
              <w:jc w:val="right"/>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222" w:type="dxa"/>
            <w:gridSpan w:val="2"/>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研究起始时间</w:t>
            </w:r>
          </w:p>
        </w:tc>
        <w:tc>
          <w:tcPr>
            <w:tcW w:w="2745" w:type="dxa"/>
            <w:gridSpan w:val="5"/>
            <w:vAlign w:val="center"/>
          </w:tcPr>
          <w:p>
            <w:pPr>
              <w:widowControl/>
              <w:rPr>
                <w:rFonts w:hint="eastAsia" w:ascii="仿宋" w:hAnsi="仿宋" w:eastAsia="仿宋" w:cs="仿宋"/>
                <w:color w:val="auto"/>
                <w:sz w:val="30"/>
                <w:szCs w:val="30"/>
              </w:rPr>
            </w:pPr>
          </w:p>
        </w:tc>
        <w:tc>
          <w:tcPr>
            <w:tcW w:w="1789" w:type="dxa"/>
            <w:gridSpan w:val="4"/>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研究终止时间</w:t>
            </w:r>
          </w:p>
        </w:tc>
        <w:tc>
          <w:tcPr>
            <w:tcW w:w="2880" w:type="dxa"/>
            <w:vAlign w:val="center"/>
          </w:tcPr>
          <w:p>
            <w:pPr>
              <w:widowControl/>
              <w:jc w:val="left"/>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86" w:type="dxa"/>
            <w:vMerge w:val="restart"/>
          </w:tcPr>
          <w:p>
            <w:pPr>
              <w:jc w:val="center"/>
              <w:rPr>
                <w:rFonts w:hint="eastAsia" w:ascii="仿宋" w:hAnsi="仿宋" w:eastAsia="仿宋" w:cs="仿宋"/>
                <w:color w:val="auto"/>
                <w:sz w:val="30"/>
                <w:szCs w:val="30"/>
              </w:rPr>
            </w:pPr>
          </w:p>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申请评价单位</w:t>
            </w:r>
          </w:p>
        </w:tc>
        <w:tc>
          <w:tcPr>
            <w:tcW w:w="1536" w:type="dxa"/>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单位名称</w:t>
            </w:r>
          </w:p>
        </w:tc>
        <w:tc>
          <w:tcPr>
            <w:tcW w:w="7414" w:type="dxa"/>
            <w:gridSpan w:val="10"/>
            <w:vAlign w:val="center"/>
          </w:tcPr>
          <w:p>
            <w:pPr>
              <w:spacing w:before="156"/>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86" w:type="dxa"/>
            <w:vMerge w:val="continue"/>
          </w:tcPr>
          <w:p>
            <w:pPr>
              <w:jc w:val="center"/>
              <w:rPr>
                <w:rFonts w:hint="eastAsia" w:ascii="仿宋" w:hAnsi="仿宋" w:eastAsia="仿宋" w:cs="仿宋"/>
                <w:color w:val="auto"/>
                <w:sz w:val="30"/>
                <w:szCs w:val="30"/>
              </w:rPr>
            </w:pPr>
          </w:p>
        </w:tc>
        <w:tc>
          <w:tcPr>
            <w:tcW w:w="1536" w:type="dxa"/>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单位性质</w:t>
            </w:r>
          </w:p>
        </w:tc>
        <w:tc>
          <w:tcPr>
            <w:tcW w:w="7414" w:type="dxa"/>
            <w:gridSpan w:val="10"/>
            <w:vAlign w:val="center"/>
          </w:tcPr>
          <w:p>
            <w:pPr>
              <w:spacing w:before="156"/>
              <w:rPr>
                <w:rFonts w:hint="eastAsia" w:ascii="仿宋" w:hAnsi="仿宋" w:eastAsia="仿宋" w:cs="仿宋"/>
                <w:color w:val="auto"/>
                <w:sz w:val="30"/>
                <w:szCs w:val="30"/>
              </w:rPr>
            </w:pPr>
            <w:r>
              <w:rPr>
                <w:rFonts w:hint="eastAsia" w:ascii="仿宋" w:hAnsi="仿宋" w:eastAsia="仿宋" w:cs="仿宋"/>
                <w:color w:val="auto"/>
                <w:sz w:val="30"/>
                <w:szCs w:val="30"/>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86" w:type="dxa"/>
            <w:vMerge w:val="continue"/>
          </w:tcPr>
          <w:p>
            <w:pPr>
              <w:jc w:val="center"/>
              <w:rPr>
                <w:rFonts w:hint="eastAsia" w:ascii="仿宋" w:hAnsi="仿宋" w:eastAsia="仿宋" w:cs="仿宋"/>
                <w:color w:val="auto"/>
                <w:sz w:val="30"/>
                <w:szCs w:val="30"/>
              </w:rPr>
            </w:pPr>
          </w:p>
        </w:tc>
        <w:tc>
          <w:tcPr>
            <w:tcW w:w="1536" w:type="dxa"/>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法人代表</w:t>
            </w:r>
          </w:p>
        </w:tc>
        <w:tc>
          <w:tcPr>
            <w:tcW w:w="1869" w:type="dxa"/>
            <w:gridSpan w:val="2"/>
            <w:vAlign w:val="center"/>
          </w:tcPr>
          <w:p>
            <w:pPr>
              <w:spacing w:before="156"/>
              <w:jc w:val="center"/>
              <w:rPr>
                <w:rFonts w:hint="eastAsia" w:ascii="仿宋" w:hAnsi="仿宋" w:eastAsia="仿宋" w:cs="仿宋"/>
                <w:color w:val="auto"/>
                <w:sz w:val="30"/>
                <w:szCs w:val="30"/>
              </w:rPr>
            </w:pPr>
          </w:p>
        </w:tc>
        <w:tc>
          <w:tcPr>
            <w:tcW w:w="1056" w:type="dxa"/>
            <w:gridSpan w:val="4"/>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电话</w:t>
            </w:r>
          </w:p>
        </w:tc>
        <w:tc>
          <w:tcPr>
            <w:tcW w:w="4489" w:type="dxa"/>
            <w:gridSpan w:val="4"/>
            <w:vAlign w:val="center"/>
          </w:tcPr>
          <w:p>
            <w:pPr>
              <w:spacing w:before="156"/>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86" w:type="dxa"/>
            <w:vMerge w:val="continue"/>
          </w:tcPr>
          <w:p>
            <w:pPr>
              <w:jc w:val="center"/>
              <w:rPr>
                <w:rFonts w:hint="eastAsia" w:ascii="仿宋" w:hAnsi="仿宋" w:eastAsia="仿宋" w:cs="仿宋"/>
                <w:color w:val="auto"/>
                <w:sz w:val="30"/>
                <w:szCs w:val="30"/>
              </w:rPr>
            </w:pPr>
          </w:p>
        </w:tc>
        <w:tc>
          <w:tcPr>
            <w:tcW w:w="1536" w:type="dxa"/>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联 系 人</w:t>
            </w:r>
          </w:p>
        </w:tc>
        <w:tc>
          <w:tcPr>
            <w:tcW w:w="1869" w:type="dxa"/>
            <w:gridSpan w:val="2"/>
            <w:vAlign w:val="center"/>
          </w:tcPr>
          <w:p>
            <w:pPr>
              <w:spacing w:before="156"/>
              <w:jc w:val="center"/>
              <w:rPr>
                <w:rFonts w:hint="eastAsia" w:ascii="仿宋" w:hAnsi="仿宋" w:eastAsia="仿宋" w:cs="仿宋"/>
                <w:color w:val="auto"/>
                <w:sz w:val="30"/>
                <w:szCs w:val="30"/>
              </w:rPr>
            </w:pPr>
          </w:p>
        </w:tc>
        <w:tc>
          <w:tcPr>
            <w:tcW w:w="1056" w:type="dxa"/>
            <w:gridSpan w:val="4"/>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电话</w:t>
            </w:r>
          </w:p>
        </w:tc>
        <w:tc>
          <w:tcPr>
            <w:tcW w:w="4489" w:type="dxa"/>
            <w:gridSpan w:val="4"/>
            <w:vAlign w:val="center"/>
          </w:tcPr>
          <w:p>
            <w:pPr>
              <w:spacing w:before="156"/>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2、 </w:t>
            </w:r>
            <w:r>
              <w:rPr>
                <w:rFonts w:hint="eastAsia" w:ascii="仿宋" w:hAnsi="仿宋" w:eastAsia="仿宋" w:cs="仿宋"/>
                <w:color w:val="auto"/>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86" w:type="dxa"/>
            <w:vMerge w:val="continue"/>
          </w:tcPr>
          <w:p>
            <w:pPr>
              <w:jc w:val="center"/>
              <w:rPr>
                <w:rFonts w:hint="eastAsia" w:ascii="仿宋" w:hAnsi="仿宋" w:eastAsia="仿宋" w:cs="仿宋"/>
                <w:color w:val="auto"/>
                <w:sz w:val="30"/>
                <w:szCs w:val="30"/>
              </w:rPr>
            </w:pPr>
          </w:p>
        </w:tc>
        <w:tc>
          <w:tcPr>
            <w:tcW w:w="1536" w:type="dxa"/>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邮政编码</w:t>
            </w:r>
          </w:p>
        </w:tc>
        <w:tc>
          <w:tcPr>
            <w:tcW w:w="1070" w:type="dxa"/>
            <w:vAlign w:val="center"/>
          </w:tcPr>
          <w:p>
            <w:pPr>
              <w:spacing w:before="156"/>
              <w:jc w:val="center"/>
              <w:rPr>
                <w:rFonts w:hint="eastAsia" w:ascii="仿宋" w:hAnsi="仿宋" w:eastAsia="仿宋" w:cs="仿宋"/>
                <w:color w:val="auto"/>
                <w:sz w:val="30"/>
                <w:szCs w:val="30"/>
              </w:rPr>
            </w:pPr>
          </w:p>
        </w:tc>
        <w:tc>
          <w:tcPr>
            <w:tcW w:w="1258" w:type="dxa"/>
            <w:gridSpan w:val="3"/>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联系邮箱</w:t>
            </w:r>
          </w:p>
        </w:tc>
        <w:tc>
          <w:tcPr>
            <w:tcW w:w="5086" w:type="dxa"/>
            <w:gridSpan w:val="6"/>
            <w:vAlign w:val="center"/>
          </w:tcPr>
          <w:p>
            <w:pPr>
              <w:spacing w:before="156"/>
              <w:rPr>
                <w:rFonts w:hint="eastAsia" w:ascii="仿宋" w:hAnsi="仿宋" w:eastAsia="仿宋" w:cs="仿宋"/>
                <w:color w:val="auto"/>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86" w:type="dxa"/>
            <w:vMerge w:val="continue"/>
          </w:tcPr>
          <w:p>
            <w:pPr>
              <w:jc w:val="center"/>
              <w:rPr>
                <w:rFonts w:hint="eastAsia" w:ascii="仿宋" w:hAnsi="仿宋" w:eastAsia="仿宋" w:cs="仿宋"/>
                <w:color w:val="auto"/>
                <w:sz w:val="30"/>
                <w:szCs w:val="30"/>
              </w:rPr>
            </w:pPr>
          </w:p>
        </w:tc>
        <w:tc>
          <w:tcPr>
            <w:tcW w:w="1536" w:type="dxa"/>
            <w:vAlign w:val="center"/>
          </w:tcPr>
          <w:p>
            <w:pPr>
              <w:spacing w:before="156"/>
              <w:jc w:val="center"/>
              <w:rPr>
                <w:rFonts w:hint="eastAsia" w:ascii="仿宋" w:hAnsi="仿宋" w:eastAsia="仿宋" w:cs="仿宋"/>
                <w:color w:val="auto"/>
                <w:sz w:val="30"/>
                <w:szCs w:val="30"/>
              </w:rPr>
            </w:pPr>
            <w:r>
              <w:rPr>
                <w:rFonts w:hint="eastAsia" w:ascii="仿宋" w:hAnsi="仿宋" w:eastAsia="仿宋" w:cs="仿宋"/>
                <w:color w:val="auto"/>
                <w:sz w:val="30"/>
                <w:szCs w:val="30"/>
              </w:rPr>
              <w:t>通信地址</w:t>
            </w:r>
          </w:p>
        </w:tc>
        <w:tc>
          <w:tcPr>
            <w:tcW w:w="7414" w:type="dxa"/>
            <w:gridSpan w:val="10"/>
            <w:vAlign w:val="center"/>
          </w:tcPr>
          <w:p>
            <w:pPr>
              <w:spacing w:before="156"/>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222" w:type="dxa"/>
            <w:gridSpan w:val="2"/>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任 务 来 源</w:t>
            </w:r>
          </w:p>
        </w:tc>
        <w:tc>
          <w:tcPr>
            <w:tcW w:w="1070"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 )</w:t>
            </w:r>
          </w:p>
        </w:tc>
        <w:tc>
          <w:tcPr>
            <w:tcW w:w="6344" w:type="dxa"/>
            <w:gridSpan w:val="9"/>
            <w:vAlign w:val="center"/>
          </w:tcPr>
          <w:p>
            <w:pPr>
              <w:rPr>
                <w:rFonts w:hint="eastAsia" w:ascii="仿宋" w:hAnsi="仿宋" w:eastAsia="仿宋" w:cs="仿宋"/>
                <w:color w:val="auto"/>
                <w:sz w:val="30"/>
                <w:szCs w:val="30"/>
              </w:rPr>
            </w:pPr>
            <w:r>
              <w:rPr>
                <w:rFonts w:hint="eastAsia" w:ascii="仿宋" w:hAnsi="仿宋" w:eastAsia="仿宋" w:cs="仿宋"/>
                <w:color w:val="auto"/>
                <w:sz w:val="30"/>
                <w:szCs w:val="30"/>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222" w:type="dxa"/>
            <w:gridSpan w:val="2"/>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成果有无密级</w:t>
            </w:r>
          </w:p>
        </w:tc>
        <w:tc>
          <w:tcPr>
            <w:tcW w:w="1070"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 )</w:t>
            </w:r>
          </w:p>
        </w:tc>
        <w:tc>
          <w:tcPr>
            <w:tcW w:w="1254" w:type="dxa"/>
            <w:gridSpan w:val="2"/>
            <w:vAlign w:val="center"/>
          </w:tcPr>
          <w:p>
            <w:pPr>
              <w:rPr>
                <w:rFonts w:hint="eastAsia" w:ascii="仿宋" w:hAnsi="仿宋" w:eastAsia="仿宋" w:cs="仿宋"/>
                <w:color w:val="auto"/>
                <w:sz w:val="30"/>
                <w:szCs w:val="30"/>
              </w:rPr>
            </w:pPr>
            <w:r>
              <w:rPr>
                <w:rFonts w:hint="eastAsia" w:ascii="仿宋" w:hAnsi="仿宋" w:eastAsia="仿宋" w:cs="仿宋"/>
                <w:color w:val="auto"/>
                <w:sz w:val="30"/>
                <w:szCs w:val="30"/>
              </w:rPr>
              <w:t>0-无； 1-有</w:t>
            </w:r>
          </w:p>
        </w:tc>
        <w:tc>
          <w:tcPr>
            <w:tcW w:w="1137" w:type="dxa"/>
            <w:gridSpan w:val="4"/>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密      级</w:t>
            </w:r>
          </w:p>
        </w:tc>
        <w:tc>
          <w:tcPr>
            <w:tcW w:w="727"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 )</w:t>
            </w:r>
          </w:p>
        </w:tc>
        <w:tc>
          <w:tcPr>
            <w:tcW w:w="3226" w:type="dxa"/>
            <w:gridSpan w:val="2"/>
            <w:vAlign w:val="center"/>
          </w:tcPr>
          <w:p>
            <w:pPr>
              <w:rPr>
                <w:rFonts w:hint="eastAsia" w:ascii="仿宋" w:hAnsi="仿宋" w:eastAsia="仿宋" w:cs="仿宋"/>
                <w:color w:val="auto"/>
                <w:sz w:val="30"/>
                <w:szCs w:val="30"/>
              </w:rPr>
            </w:pPr>
            <w:r>
              <w:rPr>
                <w:rFonts w:hint="eastAsia" w:ascii="仿宋" w:hAnsi="仿宋" w:eastAsia="仿宋" w:cs="仿宋"/>
                <w:color w:val="auto"/>
                <w:sz w:val="30"/>
                <w:szCs w:val="30"/>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636" w:type="dxa"/>
            <w:gridSpan w:val="12"/>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5" w:hRule="atLeast"/>
          <w:jc w:val="center"/>
        </w:trPr>
        <w:tc>
          <w:tcPr>
            <w:tcW w:w="9636" w:type="dxa"/>
            <w:gridSpan w:val="12"/>
            <w:vAlign w:val="top"/>
          </w:tcPr>
          <w:p>
            <w:pPr>
              <w:spacing w:line="320" w:lineRule="exact"/>
              <w:jc w:val="both"/>
              <w:rPr>
                <w:rFonts w:hint="eastAsia" w:ascii="仿宋" w:hAnsi="仿宋" w:eastAsia="仿宋" w:cs="仿宋"/>
                <w:color w:val="auto"/>
                <w:sz w:val="30"/>
                <w:szCs w:val="30"/>
              </w:rPr>
            </w:pPr>
          </w:p>
          <w:p>
            <w:pPr>
              <w:spacing w:line="320" w:lineRule="exact"/>
              <w:jc w:val="both"/>
              <w:rPr>
                <w:rFonts w:hint="eastAsia" w:ascii="仿宋" w:hAnsi="仿宋" w:eastAsia="仿宋" w:cs="仿宋"/>
                <w:color w:val="auto"/>
                <w:sz w:val="30"/>
                <w:szCs w:val="30"/>
              </w:rPr>
            </w:pPr>
            <w:r>
              <w:rPr>
                <w:rFonts w:hint="eastAsia" w:ascii="仿宋" w:hAnsi="仿宋" w:eastAsia="仿宋" w:cs="仿宋"/>
                <w:color w:val="auto"/>
                <w:sz w:val="30"/>
                <w:szCs w:val="30"/>
              </w:rPr>
              <w:t>(内容包括：1.任务来源；2.应用领域和技术原理；3.性能指标；4.与国内同类技术比较；5.成果创新性、先进性；6.作用意义；7.推广应用的范围、条件和前提；8.存在的问题和改进意见)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636" w:type="dxa"/>
            <w:gridSpan w:val="12"/>
            <w:vAlign w:val="center"/>
          </w:tcPr>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6" w:hRule="atLeast"/>
          <w:jc w:val="center"/>
        </w:trPr>
        <w:tc>
          <w:tcPr>
            <w:tcW w:w="9636" w:type="dxa"/>
            <w:gridSpan w:val="12"/>
            <w:vAlign w:val="center"/>
          </w:tcPr>
          <w:p>
            <w:pP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636" w:type="dxa"/>
            <w:gridSpan w:val="12"/>
            <w:vAlign w:val="center"/>
          </w:tcPr>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2" w:hRule="atLeast"/>
          <w:jc w:val="center"/>
        </w:trPr>
        <w:tc>
          <w:tcPr>
            <w:tcW w:w="9636" w:type="dxa"/>
            <w:gridSpan w:val="12"/>
            <w:vAlign w:val="top"/>
          </w:tcPr>
          <w:p>
            <w:pPr>
              <w:numPr>
                <w:ilvl w:val="0"/>
                <w:numId w:val="0"/>
              </w:numPr>
              <w:spacing w:line="240" w:lineRule="auto"/>
              <w:jc w:val="both"/>
              <w:rPr>
                <w:rFonts w:hint="eastAsia" w:ascii="仿宋" w:hAnsi="仿宋" w:eastAsia="仿宋" w:cs="仿宋"/>
                <w:b/>
                <w:bCs/>
                <w:color w:val="auto"/>
                <w:sz w:val="24"/>
                <w:szCs w:val="24"/>
              </w:rPr>
            </w:pPr>
          </w:p>
          <w:p>
            <w:pPr>
              <w:numPr>
                <w:ilvl w:val="0"/>
                <w:numId w:val="3"/>
              </w:numPr>
              <w:spacing w:line="24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科技成果评价申请表…………………………………（需补充）</w:t>
            </w:r>
          </w:p>
          <w:p>
            <w:pPr>
              <w:pStyle w:val="14"/>
              <w:numPr>
                <w:ilvl w:val="0"/>
                <w:numId w:val="4"/>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依据标准</w:t>
            </w:r>
          </w:p>
          <w:p>
            <w:pPr>
              <w:pStyle w:val="14"/>
              <w:numPr>
                <w:ilvl w:val="0"/>
                <w:numId w:val="4"/>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目的</w:t>
            </w:r>
          </w:p>
          <w:p>
            <w:pPr>
              <w:pStyle w:val="14"/>
              <w:numPr>
                <w:ilvl w:val="0"/>
                <w:numId w:val="4"/>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w:t>
            </w:r>
          </w:p>
          <w:p>
            <w:pPr>
              <w:pStyle w:val="14"/>
              <w:numPr>
                <w:ilvl w:val="0"/>
                <w:numId w:val="4"/>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程序</w:t>
            </w:r>
          </w:p>
          <w:p>
            <w:pPr>
              <w:pStyle w:val="14"/>
              <w:numPr>
                <w:ilvl w:val="0"/>
                <w:numId w:val="4"/>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其他认为需要加以说明的内容</w:t>
            </w:r>
          </w:p>
          <w:p>
            <w:pPr>
              <w:numPr>
                <w:ilvl w:val="0"/>
                <w:numId w:val="3"/>
              </w:numPr>
              <w:spacing w:line="240" w:lineRule="auto"/>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研制工作报告…………………………………………（需补充）</w:t>
            </w:r>
          </w:p>
          <w:p>
            <w:pPr>
              <w:pStyle w:val="14"/>
              <w:numPr>
                <w:ilvl w:val="0"/>
                <w:numId w:val="5"/>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企业概况</w:t>
            </w:r>
          </w:p>
          <w:p>
            <w:pPr>
              <w:pStyle w:val="14"/>
              <w:numPr>
                <w:ilvl w:val="0"/>
                <w:numId w:val="5"/>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项目研究背景</w:t>
            </w:r>
          </w:p>
          <w:p>
            <w:pPr>
              <w:pStyle w:val="14"/>
              <w:numPr>
                <w:ilvl w:val="0"/>
                <w:numId w:val="5"/>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解决的问题</w:t>
            </w:r>
          </w:p>
          <w:p>
            <w:pPr>
              <w:pStyle w:val="14"/>
              <w:numPr>
                <w:ilvl w:val="0"/>
                <w:numId w:val="5"/>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取得的成果</w:t>
            </w:r>
          </w:p>
          <w:p>
            <w:pPr>
              <w:pStyle w:val="14"/>
              <w:numPr>
                <w:ilvl w:val="0"/>
                <w:numId w:val="5"/>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其他认为需要加以说明的内容</w:t>
            </w:r>
          </w:p>
          <w:p>
            <w:pPr>
              <w:numPr>
                <w:ilvl w:val="0"/>
                <w:numId w:val="3"/>
              </w:numPr>
              <w:spacing w:line="240" w:lineRule="auto"/>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技术报告………………………………………………（需补充）</w:t>
            </w:r>
          </w:p>
          <w:p>
            <w:pPr>
              <w:pStyle w:val="14"/>
              <w:numPr>
                <w:ilvl w:val="0"/>
                <w:numId w:val="6"/>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研究的目的及意义</w:t>
            </w:r>
          </w:p>
          <w:p>
            <w:pPr>
              <w:pStyle w:val="14"/>
              <w:numPr>
                <w:ilvl w:val="0"/>
                <w:numId w:val="6"/>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国内外研究现状</w:t>
            </w:r>
          </w:p>
          <w:p>
            <w:pPr>
              <w:pStyle w:val="14"/>
              <w:numPr>
                <w:ilvl w:val="0"/>
                <w:numId w:val="6"/>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研究内容</w:t>
            </w:r>
          </w:p>
          <w:p>
            <w:pPr>
              <w:pStyle w:val="14"/>
              <w:numPr>
                <w:ilvl w:val="0"/>
                <w:numId w:val="6"/>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产品性能</w:t>
            </w:r>
          </w:p>
          <w:p>
            <w:pPr>
              <w:pStyle w:val="14"/>
              <w:numPr>
                <w:ilvl w:val="0"/>
                <w:numId w:val="6"/>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与国内外对比</w:t>
            </w:r>
          </w:p>
          <w:p>
            <w:pPr>
              <w:pStyle w:val="14"/>
              <w:numPr>
                <w:ilvl w:val="0"/>
                <w:numId w:val="6"/>
              </w:numPr>
              <w:spacing w:line="240" w:lineRule="auto"/>
              <w:ind w:firstLine="480"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其他认为需要加以说明的内容</w:t>
            </w:r>
          </w:p>
          <w:p>
            <w:pPr>
              <w:numPr>
                <w:ilvl w:val="0"/>
                <w:numId w:val="3"/>
              </w:numPr>
              <w:spacing w:line="240" w:lineRule="auto"/>
              <w:ind w:left="0" w:leftChars="0" w:firstLine="0" w:firstLine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技术经济分析报告……………………………………（需补充）</w:t>
            </w:r>
          </w:p>
          <w:p>
            <w:pPr>
              <w:numPr>
                <w:ilvl w:val="0"/>
                <w:numId w:val="3"/>
              </w:numPr>
              <w:spacing w:line="240" w:lineRule="auto"/>
              <w:ind w:left="0" w:leftChars="0" w:firstLine="0" w:firstLine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测试报告………………………………………………（需补充）</w:t>
            </w:r>
          </w:p>
          <w:p>
            <w:pPr>
              <w:numPr>
                <w:ilvl w:val="0"/>
                <w:numId w:val="3"/>
              </w:numPr>
              <w:spacing w:line="240" w:lineRule="auto"/>
              <w:ind w:left="0" w:leftChars="0" w:firstLine="0" w:firstLine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应用证明………………………………………………（需补充）</w:t>
            </w:r>
          </w:p>
          <w:p>
            <w:pPr>
              <w:numPr>
                <w:ilvl w:val="0"/>
                <w:numId w:val="3"/>
              </w:numPr>
              <w:spacing w:line="240" w:lineRule="auto"/>
              <w:ind w:left="0" w:leftChars="0" w:firstLine="0" w:firstLine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科技查新报告…………………………………………（需补充）</w:t>
            </w:r>
          </w:p>
          <w:p>
            <w:pPr>
              <w:spacing w:line="240" w:lineRule="auto"/>
              <w:jc w:val="both"/>
              <w:rPr>
                <w:rFonts w:hint="eastAsia" w:ascii="仿宋" w:hAnsi="仿宋" w:eastAsia="仿宋" w:cs="仿宋"/>
                <w:color w:val="auto"/>
                <w:sz w:val="30"/>
                <w:szCs w:val="30"/>
              </w:rPr>
            </w:pPr>
            <w:r>
              <w:rPr>
                <w:rFonts w:hint="eastAsia" w:ascii="仿宋" w:hAnsi="仿宋" w:eastAsia="仿宋" w:cs="仿宋"/>
                <w:b/>
                <w:bCs/>
                <w:color w:val="auto"/>
                <w:sz w:val="24"/>
                <w:szCs w:val="24"/>
              </w:rPr>
              <w:t>八、项目成果证明材料（知识产权、论文专著等）……（需补充）</w:t>
            </w:r>
          </w:p>
        </w:tc>
      </w:tr>
    </w:tbl>
    <w:p>
      <w:pPr>
        <w:jc w:val="center"/>
        <w:rPr>
          <w:rFonts w:hint="eastAsia" w:ascii="仿宋" w:hAnsi="仿宋" w:eastAsia="仿宋" w:cs="仿宋"/>
          <w:b/>
          <w:bCs/>
          <w:color w:val="auto"/>
          <w:sz w:val="30"/>
          <w:szCs w:val="30"/>
        </w:rPr>
        <w:sectPr>
          <w:footerReference r:id="rId3" w:type="default"/>
          <w:pgSz w:w="11906" w:h="16838"/>
          <w:pgMar w:top="1134" w:right="1797" w:bottom="1134" w:left="1797" w:header="851" w:footer="992" w:gutter="0"/>
          <w:pgNumType w:start="1"/>
          <w:cols w:space="425" w:num="1"/>
          <w:titlePg/>
          <w:docGrid w:type="linesAndChars" w:linePitch="312" w:charSpace="0"/>
        </w:sectPr>
      </w:pP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主  要  研  制  人  员  名  单</w:t>
      </w:r>
    </w:p>
    <w:p>
      <w:pPr>
        <w:jc w:val="center"/>
        <w:rPr>
          <w:rFonts w:hint="eastAsia" w:ascii="仿宋" w:hAnsi="仿宋" w:eastAsia="仿宋" w:cs="仿宋"/>
          <w:b/>
          <w:bCs/>
          <w:color w:val="auto"/>
          <w:sz w:val="30"/>
          <w:szCs w:val="30"/>
        </w:rPr>
      </w:pP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1408"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姓名</w:t>
            </w:r>
          </w:p>
        </w:tc>
        <w:tc>
          <w:tcPr>
            <w:tcW w:w="692"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性别</w:t>
            </w:r>
          </w:p>
        </w:tc>
        <w:tc>
          <w:tcPr>
            <w:tcW w:w="120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出生年月</w:t>
            </w:r>
          </w:p>
        </w:tc>
        <w:tc>
          <w:tcPr>
            <w:tcW w:w="1302"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技术职称</w:t>
            </w:r>
          </w:p>
        </w:tc>
        <w:tc>
          <w:tcPr>
            <w:tcW w:w="1258"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文化程度(学位)</w:t>
            </w:r>
          </w:p>
        </w:tc>
        <w:tc>
          <w:tcPr>
            <w:tcW w:w="3600"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工作单位</w:t>
            </w:r>
          </w:p>
        </w:tc>
        <w:tc>
          <w:tcPr>
            <w:tcW w:w="4320"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3</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4</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6</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7</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8</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9</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10</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11</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12</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13</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14</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15</w:t>
            </w:r>
          </w:p>
        </w:tc>
        <w:tc>
          <w:tcPr>
            <w:tcW w:w="1408" w:type="dxa"/>
          </w:tcPr>
          <w:p>
            <w:pPr>
              <w:jc w:val="center"/>
              <w:rPr>
                <w:rFonts w:hint="eastAsia" w:ascii="仿宋" w:hAnsi="仿宋" w:eastAsia="仿宋" w:cs="仿宋"/>
                <w:color w:val="auto"/>
                <w:sz w:val="30"/>
                <w:szCs w:val="30"/>
              </w:rPr>
            </w:pPr>
          </w:p>
        </w:tc>
        <w:tc>
          <w:tcPr>
            <w:tcW w:w="692" w:type="dxa"/>
          </w:tcPr>
          <w:p>
            <w:pPr>
              <w:jc w:val="center"/>
              <w:rPr>
                <w:rFonts w:hint="eastAsia" w:ascii="仿宋" w:hAnsi="仿宋" w:eastAsia="仿宋" w:cs="仿宋"/>
                <w:color w:val="auto"/>
                <w:sz w:val="30"/>
                <w:szCs w:val="30"/>
              </w:rPr>
            </w:pPr>
          </w:p>
        </w:tc>
        <w:tc>
          <w:tcPr>
            <w:tcW w:w="1204" w:type="dxa"/>
          </w:tcPr>
          <w:p>
            <w:pPr>
              <w:jc w:val="center"/>
              <w:rPr>
                <w:rFonts w:hint="eastAsia" w:ascii="仿宋" w:hAnsi="仿宋" w:eastAsia="仿宋" w:cs="仿宋"/>
                <w:color w:val="auto"/>
                <w:sz w:val="30"/>
                <w:szCs w:val="30"/>
              </w:rPr>
            </w:pPr>
          </w:p>
        </w:tc>
        <w:tc>
          <w:tcPr>
            <w:tcW w:w="1302" w:type="dxa"/>
          </w:tcPr>
          <w:p>
            <w:pPr>
              <w:jc w:val="center"/>
              <w:rPr>
                <w:rFonts w:hint="eastAsia" w:ascii="仿宋" w:hAnsi="仿宋" w:eastAsia="仿宋" w:cs="仿宋"/>
                <w:color w:val="auto"/>
                <w:sz w:val="30"/>
                <w:szCs w:val="30"/>
              </w:rPr>
            </w:pPr>
          </w:p>
        </w:tc>
        <w:tc>
          <w:tcPr>
            <w:tcW w:w="1258" w:type="dxa"/>
          </w:tcPr>
          <w:p>
            <w:pPr>
              <w:jc w:val="center"/>
              <w:rPr>
                <w:rFonts w:hint="eastAsia" w:ascii="仿宋" w:hAnsi="仿宋" w:eastAsia="仿宋" w:cs="仿宋"/>
                <w:color w:val="auto"/>
                <w:sz w:val="30"/>
                <w:szCs w:val="30"/>
              </w:rPr>
            </w:pPr>
          </w:p>
        </w:tc>
        <w:tc>
          <w:tcPr>
            <w:tcW w:w="3600" w:type="dxa"/>
          </w:tcPr>
          <w:p>
            <w:pPr>
              <w:jc w:val="center"/>
              <w:rPr>
                <w:rFonts w:hint="eastAsia" w:ascii="仿宋" w:hAnsi="仿宋" w:eastAsia="仿宋" w:cs="仿宋"/>
                <w:color w:val="auto"/>
                <w:sz w:val="30"/>
                <w:szCs w:val="30"/>
              </w:rPr>
            </w:pPr>
          </w:p>
        </w:tc>
        <w:tc>
          <w:tcPr>
            <w:tcW w:w="4320" w:type="dxa"/>
          </w:tcPr>
          <w:p>
            <w:pPr>
              <w:jc w:val="center"/>
              <w:rPr>
                <w:rFonts w:hint="eastAsia" w:ascii="仿宋" w:hAnsi="仿宋" w:eastAsia="仿宋" w:cs="仿宋"/>
                <w:color w:val="auto"/>
                <w:sz w:val="30"/>
                <w:szCs w:val="30"/>
              </w:rPr>
            </w:pPr>
          </w:p>
        </w:tc>
      </w:tr>
    </w:tbl>
    <w:p>
      <w:pPr>
        <w:ind w:firstLine="300" w:firstLineChars="100"/>
        <w:rPr>
          <w:rFonts w:hint="eastAsia" w:ascii="仿宋" w:hAnsi="仿宋" w:eastAsia="仿宋" w:cs="仿宋"/>
          <w:color w:val="auto"/>
          <w:sz w:val="30"/>
          <w:szCs w:val="30"/>
        </w:rPr>
        <w:sectPr>
          <w:pgSz w:w="16838" w:h="11906" w:orient="landscape"/>
          <w:pgMar w:top="1797" w:right="1134" w:bottom="1797" w:left="1134" w:header="851" w:footer="992" w:gutter="0"/>
          <w:pgNumType w:start="1"/>
          <w:cols w:space="425" w:num="1"/>
          <w:titlePg/>
          <w:docGrid w:type="lines" w:linePitch="312" w:charSpace="0"/>
        </w:sectPr>
      </w:pPr>
      <w:r>
        <w:rPr>
          <w:rFonts w:hint="eastAsia" w:ascii="仿宋" w:hAnsi="仿宋" w:eastAsia="仿宋" w:cs="仿宋"/>
          <w:color w:val="auto"/>
          <w:sz w:val="30"/>
          <w:szCs w:val="30"/>
        </w:rPr>
        <w:t>注：主要研制人员超过15人可加附页</w:t>
      </w:r>
    </w:p>
    <w:tbl>
      <w:tblPr>
        <w:tblStyle w:val="6"/>
        <w:tblW w:w="95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40" w:type="dxa"/>
            <w:vAlign w:val="center"/>
          </w:tcPr>
          <w:p>
            <w:pPr>
              <w:jc w:val="center"/>
              <w:rPr>
                <w:rFonts w:hint="eastAsia" w:ascii="仿宋" w:hAnsi="仿宋" w:eastAsia="仿宋" w:cs="仿宋"/>
                <w:b/>
                <w:bCs/>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bCs/>
                <w:color w:val="auto"/>
                <w:sz w:val="30"/>
                <w:szCs w:val="30"/>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trPr>
        <w:tc>
          <w:tcPr>
            <w:tcW w:w="9540" w:type="dxa"/>
            <w:vAlign w:val="bottom"/>
          </w:tcPr>
          <w:p>
            <w:pPr>
              <w:wordWrap w:val="0"/>
              <w:jc w:val="right"/>
              <w:rPr>
                <w:rFonts w:hint="eastAsia" w:ascii="仿宋" w:hAnsi="仿宋" w:eastAsia="仿宋" w:cs="仿宋"/>
                <w:color w:val="auto"/>
                <w:sz w:val="30"/>
                <w:szCs w:val="30"/>
              </w:rPr>
            </w:pPr>
            <w:r>
              <w:rPr>
                <w:rFonts w:hint="eastAsia" w:ascii="仿宋" w:hAnsi="仿宋" w:eastAsia="仿宋" w:cs="仿宋"/>
                <w:color w:val="auto"/>
                <w:sz w:val="30"/>
                <w:szCs w:val="30"/>
              </w:rPr>
              <w:t>领导签字</w:t>
            </w:r>
            <w:r>
              <w:rPr>
                <w:rFonts w:hint="eastAsia" w:ascii="仿宋" w:hAnsi="仿宋" w:eastAsia="仿宋" w:cs="仿宋"/>
                <w:color w:val="auto"/>
                <w:sz w:val="30"/>
                <w:szCs w:val="30"/>
                <w:u w:val="single"/>
              </w:rPr>
              <w:t>　　　　</w:t>
            </w:r>
            <w:r>
              <w:rPr>
                <w:rFonts w:hint="eastAsia" w:ascii="仿宋" w:hAnsi="仿宋" w:eastAsia="仿宋" w:cs="仿宋"/>
                <w:color w:val="auto"/>
                <w:sz w:val="30"/>
                <w:szCs w:val="30"/>
              </w:rPr>
              <w:t>（盖章）　</w:t>
            </w:r>
          </w:p>
          <w:p>
            <w:pPr>
              <w:jc w:val="right"/>
              <w:rPr>
                <w:rFonts w:hint="eastAsia" w:ascii="仿宋" w:hAnsi="仿宋" w:eastAsia="仿宋" w:cs="仿宋"/>
                <w:color w:val="auto"/>
                <w:sz w:val="30"/>
                <w:szCs w:val="30"/>
              </w:rPr>
            </w:pPr>
            <w:r>
              <w:rPr>
                <w:rFonts w:hint="eastAsia" w:ascii="仿宋" w:hAnsi="仿宋" w:eastAsia="仿宋" w:cs="仿宋"/>
                <w:color w:val="auto"/>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540" w:type="dxa"/>
            <w:vAlign w:val="center"/>
          </w:tcPr>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1" w:hRule="atLeast"/>
        </w:trPr>
        <w:tc>
          <w:tcPr>
            <w:tcW w:w="9540" w:type="dxa"/>
            <w:vAlign w:val="bottom"/>
          </w:tcPr>
          <w:p>
            <w:pPr>
              <w:ind w:right="116"/>
              <w:jc w:val="right"/>
              <w:rPr>
                <w:rFonts w:hint="eastAsia" w:ascii="仿宋" w:hAnsi="仿宋" w:eastAsia="仿宋" w:cs="仿宋"/>
                <w:color w:val="auto"/>
                <w:sz w:val="30"/>
                <w:szCs w:val="30"/>
              </w:rPr>
            </w:pPr>
            <w:r>
              <w:rPr>
                <w:rFonts w:hint="eastAsia" w:ascii="仿宋" w:hAnsi="仿宋" w:eastAsia="仿宋" w:cs="仿宋"/>
                <w:color w:val="auto"/>
                <w:sz w:val="30"/>
                <w:szCs w:val="30"/>
              </w:rPr>
              <w:t>经办人：</w:t>
            </w:r>
            <w:r>
              <w:rPr>
                <w:rFonts w:hint="eastAsia" w:ascii="仿宋" w:hAnsi="仿宋" w:eastAsia="仿宋" w:cs="仿宋"/>
                <w:color w:val="auto"/>
                <w:sz w:val="30"/>
                <w:szCs w:val="30"/>
                <w:u w:val="single"/>
              </w:rPr>
              <w:t>　　　　</w:t>
            </w:r>
            <w:r>
              <w:rPr>
                <w:rFonts w:hint="eastAsia" w:ascii="仿宋" w:hAnsi="仿宋" w:eastAsia="仿宋" w:cs="仿宋"/>
                <w:color w:val="auto"/>
                <w:sz w:val="30"/>
                <w:szCs w:val="30"/>
              </w:rPr>
              <w:t>（盖章）</w:t>
            </w:r>
          </w:p>
          <w:p>
            <w:pPr>
              <w:jc w:val="right"/>
              <w:rPr>
                <w:rFonts w:hint="eastAsia" w:ascii="仿宋" w:hAnsi="仿宋" w:eastAsia="仿宋" w:cs="仿宋"/>
                <w:color w:val="auto"/>
                <w:sz w:val="30"/>
                <w:szCs w:val="30"/>
              </w:rPr>
            </w:pPr>
          </w:p>
        </w:tc>
      </w:tr>
    </w:tbl>
    <w:p>
      <w:pPr>
        <w:spacing w:afterLines="50"/>
        <w:jc w:val="center"/>
        <w:rPr>
          <w:rFonts w:hint="eastAsia" w:ascii="仿宋" w:hAnsi="仿宋" w:eastAsia="仿宋" w:cs="仿宋"/>
          <w:b/>
          <w:bCs/>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bCs/>
          <w:color w:val="auto"/>
          <w:sz w:val="30"/>
          <w:szCs w:val="30"/>
        </w:rPr>
        <w:t>填  写  说  明</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b/>
          <w:bCs/>
          <w:color w:val="auto"/>
          <w:sz w:val="30"/>
          <w:szCs w:val="30"/>
        </w:rPr>
        <w:t>《科技成果评价申请表》</w:t>
      </w:r>
      <w:r>
        <w:rPr>
          <w:rFonts w:hint="eastAsia" w:ascii="仿宋" w:hAnsi="仿宋" w:eastAsia="仿宋" w:cs="仿宋"/>
          <w:color w:val="auto"/>
          <w:sz w:val="30"/>
          <w:szCs w:val="30"/>
        </w:rPr>
        <w:t>：本表规格为标准A4纸，竖装。必须打印或铅印，字体为4号字。</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b/>
          <w:bCs/>
          <w:color w:val="auto"/>
          <w:sz w:val="30"/>
          <w:szCs w:val="30"/>
        </w:rPr>
        <w:t>成果名称</w:t>
      </w:r>
      <w:r>
        <w:rPr>
          <w:rFonts w:hint="eastAsia" w:ascii="仿宋" w:hAnsi="仿宋" w:eastAsia="仿宋" w:cs="仿宋"/>
          <w:color w:val="auto"/>
          <w:sz w:val="30"/>
          <w:szCs w:val="30"/>
        </w:rPr>
        <w:t>：由成果完成单位填写。</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b/>
          <w:bCs/>
          <w:color w:val="auto"/>
          <w:sz w:val="30"/>
          <w:szCs w:val="30"/>
        </w:rPr>
        <w:t>完成单位</w:t>
      </w:r>
      <w:r>
        <w:rPr>
          <w:rFonts w:hint="eastAsia" w:ascii="仿宋" w:hAnsi="仿宋" w:eastAsia="仿宋" w:cs="仿宋"/>
          <w:color w:val="auto"/>
          <w:sz w:val="30"/>
          <w:szCs w:val="30"/>
        </w:rPr>
        <w:t>：指承担该项目主要研制任务的单位。由二个以上单位共同完成时，原则按技术任务书或技术合同中研制单位的顺序由第一完成单位填写，如有变化，填写前，完成单位必须协商一致。</w:t>
      </w:r>
    </w:p>
    <w:p>
      <w:pPr>
        <w:tabs>
          <w:tab w:val="left" w:pos="360"/>
          <w:tab w:val="left" w:pos="720"/>
          <w:tab w:val="left" w:pos="900"/>
          <w:tab w:val="left" w:pos="1260"/>
        </w:tabs>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b/>
          <w:bCs/>
          <w:color w:val="auto"/>
          <w:sz w:val="30"/>
          <w:szCs w:val="30"/>
        </w:rPr>
        <w:t>申请评价单位</w:t>
      </w:r>
      <w:r>
        <w:rPr>
          <w:rFonts w:hint="eastAsia" w:ascii="仿宋" w:hAnsi="仿宋" w:eastAsia="仿宋" w:cs="仿宋"/>
          <w:color w:val="auto"/>
          <w:sz w:val="30"/>
          <w:szCs w:val="30"/>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b/>
          <w:bCs/>
          <w:color w:val="auto"/>
          <w:sz w:val="30"/>
          <w:szCs w:val="30"/>
        </w:rPr>
        <w:t xml:space="preserve"> 申请评价日期：</w:t>
      </w:r>
      <w:r>
        <w:rPr>
          <w:rFonts w:hint="eastAsia" w:ascii="仿宋" w:hAnsi="仿宋" w:eastAsia="仿宋" w:cs="仿宋"/>
          <w:color w:val="auto"/>
          <w:sz w:val="30"/>
          <w:szCs w:val="30"/>
        </w:rPr>
        <w:t>由成果完成单位填写，并以申请评价单位盖章日期为准。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b/>
          <w:bCs/>
          <w:color w:val="auto"/>
          <w:sz w:val="30"/>
          <w:szCs w:val="30"/>
        </w:rPr>
        <w:t>组织评价单位受理日期</w:t>
      </w:r>
      <w:r>
        <w:rPr>
          <w:rFonts w:hint="eastAsia" w:ascii="仿宋" w:hAnsi="仿宋" w:eastAsia="仿宋" w:cs="仿宋"/>
          <w:color w:val="auto"/>
          <w:sz w:val="30"/>
          <w:szCs w:val="30"/>
        </w:rPr>
        <w:t>：指申请评价单位将本评价申请表送达申请组织评价单位的日期，由经办人填写并签字。</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7．申请表中的</w:t>
      </w:r>
      <w:r>
        <w:rPr>
          <w:rFonts w:hint="eastAsia" w:ascii="仿宋" w:hAnsi="仿宋" w:eastAsia="仿宋" w:cs="仿宋"/>
          <w:b/>
          <w:bCs/>
          <w:color w:val="auto"/>
          <w:sz w:val="30"/>
          <w:szCs w:val="30"/>
        </w:rPr>
        <w:t>“科技成果名称”</w:t>
      </w:r>
      <w:r>
        <w:rPr>
          <w:rFonts w:hint="eastAsia" w:ascii="仿宋" w:hAnsi="仿宋" w:eastAsia="仿宋" w:cs="仿宋"/>
          <w:color w:val="auto"/>
          <w:sz w:val="30"/>
          <w:szCs w:val="30"/>
        </w:rPr>
        <w:t>必须填写全称，并与封面上的</w:t>
      </w:r>
      <w:r>
        <w:rPr>
          <w:rFonts w:hint="eastAsia" w:ascii="仿宋" w:hAnsi="仿宋" w:eastAsia="仿宋" w:cs="仿宋"/>
          <w:b/>
          <w:bCs/>
          <w:color w:val="auto"/>
          <w:sz w:val="30"/>
          <w:szCs w:val="30"/>
        </w:rPr>
        <w:t>科技成果名称</w:t>
      </w:r>
      <w:r>
        <w:rPr>
          <w:rFonts w:hint="eastAsia" w:ascii="仿宋" w:hAnsi="仿宋" w:eastAsia="仿宋" w:cs="仿宋"/>
          <w:color w:val="auto"/>
          <w:sz w:val="30"/>
          <w:szCs w:val="30"/>
        </w:rPr>
        <w:t>完全一致。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8．</w:t>
      </w:r>
      <w:r>
        <w:rPr>
          <w:rFonts w:hint="eastAsia" w:ascii="仿宋" w:hAnsi="仿宋" w:eastAsia="仿宋" w:cs="仿宋"/>
          <w:b/>
          <w:bCs/>
          <w:color w:val="auto"/>
          <w:sz w:val="30"/>
          <w:szCs w:val="30"/>
        </w:rPr>
        <w:t>研究起始时间</w:t>
      </w:r>
      <w:r>
        <w:rPr>
          <w:rFonts w:hint="eastAsia" w:ascii="仿宋" w:hAnsi="仿宋" w:eastAsia="仿宋" w:cs="仿宋"/>
          <w:color w:val="auto"/>
          <w:sz w:val="30"/>
          <w:szCs w:val="30"/>
        </w:rPr>
        <w:t>：是指该项成果开始研究或开发的时间，应以计划任务书或合同、协议书上的时间为准。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9．</w:t>
      </w:r>
      <w:r>
        <w:rPr>
          <w:rFonts w:hint="eastAsia" w:ascii="仿宋" w:hAnsi="仿宋" w:eastAsia="仿宋" w:cs="仿宋"/>
          <w:b/>
          <w:bCs/>
          <w:color w:val="auto"/>
          <w:sz w:val="30"/>
          <w:szCs w:val="30"/>
        </w:rPr>
        <w:t>研究终止时间</w:t>
      </w:r>
      <w:r>
        <w:rPr>
          <w:rFonts w:hint="eastAsia" w:ascii="仿宋" w:hAnsi="仿宋" w:eastAsia="仿宋" w:cs="仿宋"/>
          <w:color w:val="auto"/>
          <w:sz w:val="30"/>
          <w:szCs w:val="30"/>
        </w:rPr>
        <w:t>：是指该成果最终完成的时间。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10．</w:t>
      </w:r>
      <w:r>
        <w:rPr>
          <w:rFonts w:hint="eastAsia" w:ascii="仿宋" w:hAnsi="仿宋" w:eastAsia="仿宋" w:cs="仿宋"/>
          <w:b/>
          <w:bCs/>
          <w:color w:val="auto"/>
          <w:sz w:val="30"/>
          <w:szCs w:val="30"/>
        </w:rPr>
        <w:t>申请评价单位：</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b/>
          <w:bCs/>
          <w:color w:val="auto"/>
          <w:sz w:val="30"/>
          <w:szCs w:val="30"/>
        </w:rPr>
        <w:t>单位名称</w:t>
      </w:r>
      <w:r>
        <w:rPr>
          <w:rFonts w:hint="eastAsia" w:ascii="仿宋" w:hAnsi="仿宋" w:eastAsia="仿宋" w:cs="仿宋"/>
          <w:color w:val="auto"/>
          <w:sz w:val="30"/>
          <w:szCs w:val="30"/>
        </w:rPr>
        <w:t>：即封面上的申请评价单位。</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b/>
          <w:bCs/>
          <w:color w:val="auto"/>
          <w:sz w:val="30"/>
          <w:szCs w:val="30"/>
        </w:rPr>
        <w:t>单位属性</w:t>
      </w:r>
      <w:r>
        <w:rPr>
          <w:rFonts w:hint="eastAsia" w:ascii="仿宋" w:hAnsi="仿宋" w:eastAsia="仿宋" w:cs="仿宋"/>
          <w:color w:val="auto"/>
          <w:sz w:val="30"/>
          <w:szCs w:val="30"/>
        </w:rPr>
        <w:t>：是指成果第一完成单位属于哪一类。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b/>
          <w:bCs/>
          <w:color w:val="auto"/>
          <w:sz w:val="30"/>
          <w:szCs w:val="30"/>
        </w:rPr>
        <w:t>联系人</w:t>
      </w:r>
      <w:r>
        <w:rPr>
          <w:rFonts w:hint="eastAsia" w:ascii="仿宋" w:hAnsi="仿宋" w:eastAsia="仿宋" w:cs="仿宋"/>
          <w:color w:val="auto"/>
          <w:sz w:val="30"/>
          <w:szCs w:val="30"/>
        </w:rPr>
        <w:t>：是指申请评价单位的该项成果的技术负责人。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b/>
          <w:bCs/>
          <w:color w:val="auto"/>
          <w:sz w:val="30"/>
          <w:szCs w:val="30"/>
        </w:rPr>
        <w:t>通信地址</w:t>
      </w:r>
      <w:r>
        <w:rPr>
          <w:rFonts w:hint="eastAsia" w:ascii="仿宋" w:hAnsi="仿宋" w:eastAsia="仿宋" w:cs="仿宋"/>
          <w:color w:val="auto"/>
          <w:sz w:val="30"/>
          <w:szCs w:val="30"/>
        </w:rPr>
        <w:t>：指评价申请单位的通信地址。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11．</w:t>
      </w:r>
      <w:r>
        <w:rPr>
          <w:rFonts w:hint="eastAsia" w:ascii="仿宋" w:hAnsi="仿宋" w:eastAsia="仿宋" w:cs="仿宋"/>
          <w:b/>
          <w:bCs/>
          <w:color w:val="auto"/>
          <w:sz w:val="30"/>
          <w:szCs w:val="30"/>
        </w:rPr>
        <w:t>任务来源</w:t>
      </w:r>
      <w:r>
        <w:rPr>
          <w:rFonts w:hint="eastAsia" w:ascii="仿宋" w:hAnsi="仿宋" w:eastAsia="仿宋" w:cs="仿宋"/>
          <w:color w:val="auto"/>
          <w:sz w:val="30"/>
          <w:szCs w:val="30"/>
        </w:rPr>
        <w:t>：是指该项目隶属于哪个计划，请在括号中选填1.2.3.即可。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12．</w:t>
      </w:r>
      <w:r>
        <w:rPr>
          <w:rFonts w:hint="eastAsia" w:ascii="仿宋" w:hAnsi="仿宋" w:eastAsia="仿宋" w:cs="仿宋"/>
          <w:b/>
          <w:bCs/>
          <w:color w:val="auto"/>
          <w:sz w:val="30"/>
          <w:szCs w:val="30"/>
        </w:rPr>
        <w:t>成果有无密级</w:t>
      </w:r>
      <w:r>
        <w:rPr>
          <w:rFonts w:hint="eastAsia" w:ascii="仿宋" w:hAnsi="仿宋" w:eastAsia="仿宋" w:cs="仿宋"/>
          <w:color w:val="auto"/>
          <w:sz w:val="30"/>
          <w:szCs w:val="30"/>
        </w:rPr>
        <w:t>：根据国家有关科技保密的规定，确定该项目是否有密级。</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13．</w:t>
      </w:r>
      <w:r>
        <w:rPr>
          <w:rFonts w:hint="eastAsia" w:ascii="仿宋" w:hAnsi="仿宋" w:eastAsia="仿宋" w:cs="仿宋"/>
          <w:b/>
          <w:bCs/>
          <w:color w:val="auto"/>
          <w:sz w:val="30"/>
          <w:szCs w:val="30"/>
        </w:rPr>
        <w:t>密级</w:t>
      </w:r>
      <w:r>
        <w:rPr>
          <w:rFonts w:hint="eastAsia" w:ascii="仿宋" w:hAnsi="仿宋" w:eastAsia="仿宋" w:cs="仿宋"/>
          <w:color w:val="auto"/>
          <w:sz w:val="30"/>
          <w:szCs w:val="30"/>
        </w:rPr>
        <w:t>：根据国家有关科技保密的规定而确定的密级。该项目如无密级此栏可不填，如有密级请在括号内选填1.2.3.即可。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w:t>
      </w:r>
      <w:r>
        <w:rPr>
          <w:rFonts w:hint="eastAsia" w:ascii="仿宋" w:hAnsi="仿宋" w:eastAsia="仿宋" w:cs="仿宋"/>
          <w:b/>
          <w:bCs/>
          <w:color w:val="auto"/>
          <w:sz w:val="30"/>
          <w:szCs w:val="30"/>
        </w:rPr>
        <w:t>内容简介</w:t>
      </w:r>
      <w:r>
        <w:rPr>
          <w:rFonts w:hint="eastAsia" w:ascii="仿宋" w:hAnsi="仿宋" w:eastAsia="仿宋" w:cs="仿宋"/>
          <w:color w:val="auto"/>
          <w:sz w:val="30"/>
          <w:szCs w:val="30"/>
        </w:rPr>
        <w:t>：应包括如下内容：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（1）任务来源：计划项目应写清计划名称及其编号；自选项目可介绍项目背景。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（2）应用领域和技术原理。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（3）性能指标（写明计划任务书或合同书要求的主要性能指标和实际达到的性能指标）。</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（4）与国内外同类技术比较。</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（5）成果的创造性、先进性。</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（6）作用意义（直接经济效益和社会意义）。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（7）推广应用的范围、条件和前景以及存在的问题和改进意见。</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15．</w:t>
      </w:r>
      <w:r>
        <w:rPr>
          <w:rFonts w:hint="eastAsia" w:ascii="仿宋" w:hAnsi="仿宋" w:eastAsia="仿宋" w:cs="仿宋"/>
          <w:b/>
          <w:bCs/>
          <w:color w:val="auto"/>
          <w:sz w:val="30"/>
          <w:szCs w:val="30"/>
        </w:rPr>
        <w:t>技术资料目录</w:t>
      </w:r>
      <w:r>
        <w:rPr>
          <w:rFonts w:hint="eastAsia" w:ascii="仿宋" w:hAnsi="仿宋" w:eastAsia="仿宋" w:cs="仿宋"/>
          <w:color w:val="auto"/>
          <w:sz w:val="30"/>
          <w:szCs w:val="30"/>
        </w:rPr>
        <w:t>：是按照规定应由申请评价单位提供的主要文件和技术资料。</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16．</w:t>
      </w:r>
      <w:r>
        <w:rPr>
          <w:rFonts w:hint="eastAsia" w:ascii="仿宋" w:hAnsi="仿宋" w:eastAsia="仿宋" w:cs="仿宋"/>
          <w:b/>
          <w:bCs/>
          <w:color w:val="auto"/>
          <w:sz w:val="30"/>
          <w:szCs w:val="30"/>
        </w:rPr>
        <w:t>主要研究人员</w:t>
      </w:r>
      <w:r>
        <w:rPr>
          <w:rFonts w:hint="eastAsia" w:ascii="仿宋" w:hAnsi="仿宋" w:eastAsia="仿宋" w:cs="仿宋"/>
          <w:color w:val="auto"/>
          <w:sz w:val="30"/>
          <w:szCs w:val="30"/>
        </w:rPr>
        <w:t>：由成果完成单位根据研究人员对成果的创造性贡献大小顺序填写。并应得到所有完成单位的认可。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17．</w:t>
      </w:r>
      <w:r>
        <w:rPr>
          <w:rFonts w:hint="eastAsia" w:ascii="仿宋" w:hAnsi="仿宋" w:eastAsia="仿宋" w:cs="仿宋"/>
          <w:b/>
          <w:bCs/>
          <w:color w:val="auto"/>
          <w:sz w:val="30"/>
          <w:szCs w:val="30"/>
        </w:rPr>
        <w:t>申请评价单位意见</w:t>
      </w:r>
      <w:r>
        <w:rPr>
          <w:rFonts w:hint="eastAsia" w:ascii="仿宋" w:hAnsi="仿宋" w:eastAsia="仿宋" w:cs="仿宋"/>
          <w:color w:val="auto"/>
          <w:sz w:val="30"/>
          <w:szCs w:val="30"/>
        </w:rPr>
        <w:t>：由申请评价单位填写，经领导签字后，加盖单位公章。</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w:t>
      </w:r>
      <w:r>
        <w:rPr>
          <w:rFonts w:hint="eastAsia" w:ascii="仿宋" w:hAnsi="仿宋" w:eastAsia="仿宋" w:cs="仿宋"/>
          <w:b/>
          <w:bCs/>
          <w:color w:val="auto"/>
          <w:sz w:val="30"/>
          <w:szCs w:val="30"/>
        </w:rPr>
        <w:t>组织评价单位意见</w:t>
      </w:r>
      <w:r>
        <w:rPr>
          <w:rFonts w:hint="eastAsia" w:ascii="仿宋" w:hAnsi="仿宋" w:eastAsia="仿宋" w:cs="仿宋"/>
          <w:color w:val="auto"/>
          <w:sz w:val="30"/>
          <w:szCs w:val="30"/>
        </w:rPr>
        <w:t>：由组织评价单位填写，由经办人签字并加盖单位公章。</w:t>
      </w:r>
    </w:p>
    <w:p>
      <w:pPr>
        <w:rPr>
          <w:rFonts w:hint="eastAsia" w:ascii="仿宋" w:hAnsi="仿宋" w:eastAsia="仿宋" w:cs="仿宋"/>
          <w:color w:val="auto"/>
          <w:sz w:val="30"/>
          <w:szCs w:val="30"/>
        </w:rPr>
      </w:pPr>
    </w:p>
    <w:p>
      <w:pPr>
        <w:rPr>
          <w:rFonts w:hint="eastAsia" w:ascii="仿宋" w:hAnsi="仿宋" w:eastAsia="仿宋" w:cs="仿宋"/>
          <w:i w:val="0"/>
          <w:iCs w:val="0"/>
          <w:caps w:val="0"/>
          <w:color w:val="auto"/>
          <w:spacing w:val="0"/>
          <w:sz w:val="30"/>
          <w:szCs w:val="30"/>
          <w:shd w:val="clear" w:fill="FFFFFF"/>
          <w:lang w:val="en-US" w:eastAsia="zh-CN"/>
        </w:rPr>
      </w:pP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br w:type="page"/>
      </w:r>
    </w:p>
    <w:p>
      <w:pPr>
        <w:rPr>
          <w:rFonts w:hint="eastAsia" w:ascii="仿宋" w:hAnsi="仿宋" w:eastAsia="仿宋" w:cs="仿宋"/>
          <w:color w:val="auto"/>
          <w:sz w:val="30"/>
          <w:szCs w:val="30"/>
        </w:rPr>
      </w:pPr>
    </w:p>
    <w:p>
      <w:pPr>
        <w:jc w:val="center"/>
        <w:rPr>
          <w:rFonts w:hint="eastAsia" w:ascii="宋体" w:hAnsi="宋体" w:eastAsia="宋体" w:cs="宋体"/>
          <w:b/>
          <w:bCs/>
          <w:i w:val="0"/>
          <w:iCs w:val="0"/>
          <w:caps w:val="0"/>
          <w:color w:val="auto"/>
          <w:spacing w:val="0"/>
          <w:sz w:val="44"/>
          <w:szCs w:val="44"/>
          <w:shd w:val="clear" w:color="auto" w:fill="FFFFFF"/>
          <w:lang w:val="en-US" w:eastAsia="zh-CN"/>
        </w:rPr>
      </w:pPr>
      <w:r>
        <w:rPr>
          <w:rFonts w:hint="eastAsia" w:ascii="宋体" w:hAnsi="宋体" w:eastAsia="宋体" w:cs="宋体"/>
          <w:b/>
          <w:bCs/>
          <w:i w:val="0"/>
          <w:iCs w:val="0"/>
          <w:caps w:val="0"/>
          <w:color w:val="auto"/>
          <w:spacing w:val="0"/>
          <w:sz w:val="44"/>
          <w:szCs w:val="44"/>
          <w:shd w:val="clear" w:color="auto" w:fill="FFFFFF"/>
          <w:lang w:val="en-US" w:eastAsia="zh-CN"/>
        </w:rPr>
        <w:t>山东省建筑安全与设备管理协会</w:t>
      </w:r>
    </w:p>
    <w:p>
      <w:pPr>
        <w:jc w:val="center"/>
        <w:rPr>
          <w:rFonts w:hint="eastAsia" w:ascii="宋体" w:hAnsi="宋体" w:eastAsia="宋体" w:cs="宋体"/>
          <w:i w:val="0"/>
          <w:iCs w:val="0"/>
          <w:caps w:val="0"/>
          <w:color w:val="auto"/>
          <w:spacing w:val="0"/>
          <w:sz w:val="44"/>
          <w:szCs w:val="44"/>
          <w:shd w:val="clear" w:color="auto" w:fill="FFFFFF"/>
          <w:lang w:val="en-US" w:eastAsia="zh-CN"/>
        </w:rPr>
      </w:pPr>
      <w:r>
        <w:rPr>
          <w:rFonts w:hint="eastAsia" w:ascii="宋体" w:hAnsi="宋体" w:eastAsia="宋体" w:cs="宋体"/>
          <w:b/>
          <w:bCs/>
          <w:i w:val="0"/>
          <w:iCs w:val="0"/>
          <w:caps w:val="0"/>
          <w:color w:val="auto"/>
          <w:spacing w:val="0"/>
          <w:sz w:val="44"/>
          <w:szCs w:val="44"/>
          <w:shd w:val="clear" w:color="auto" w:fill="FFFFFF"/>
          <w:lang w:val="en-US" w:eastAsia="zh-CN"/>
        </w:rPr>
        <w:t>人民调解委员会管理办法</w:t>
      </w:r>
    </w:p>
    <w:p>
      <w:pPr>
        <w:rPr>
          <w:rFonts w:hint="eastAsia" w:ascii="仿宋" w:hAnsi="仿宋" w:eastAsia="仿宋" w:cs="仿宋"/>
          <w:color w:val="auto"/>
          <w:sz w:val="30"/>
          <w:szCs w:val="30"/>
        </w:rPr>
      </w:pPr>
    </w:p>
    <w:p>
      <w:pPr>
        <w:jc w:val="center"/>
        <w:rPr>
          <w:rFonts w:hint="eastAsia" w:ascii="仿宋" w:hAnsi="仿宋" w:eastAsia="仿宋" w:cs="仿宋"/>
          <w:b/>
          <w:bCs/>
          <w:i w:val="0"/>
          <w:iCs w:val="0"/>
          <w:color w:val="auto"/>
          <w:sz w:val="30"/>
          <w:szCs w:val="30"/>
        </w:rPr>
      </w:pPr>
      <w:r>
        <w:rPr>
          <w:rFonts w:hint="eastAsia" w:ascii="仿宋" w:hAnsi="仿宋" w:eastAsia="仿宋" w:cs="仿宋"/>
          <w:b/>
          <w:bCs/>
          <w:i w:val="0"/>
          <w:iCs w:val="0"/>
          <w:color w:val="auto"/>
          <w:sz w:val="30"/>
          <w:szCs w:val="30"/>
        </w:rPr>
        <w:t>第一章</w:t>
      </w: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bCs/>
          <w:i w:val="0"/>
          <w:iCs w:val="0"/>
          <w:color w:val="auto"/>
          <w:sz w:val="30"/>
          <w:szCs w:val="30"/>
        </w:rPr>
        <w:t>总 则</w:t>
      </w:r>
    </w:p>
    <w:p>
      <w:pPr>
        <w:rPr>
          <w:rFonts w:hint="eastAsia" w:ascii="仿宋" w:hAnsi="仿宋" w:eastAsia="仿宋" w:cs="仿宋"/>
          <w:b w:val="0"/>
          <w:bCs w:val="0"/>
          <w:i w:val="0"/>
          <w:iCs w:val="0"/>
          <w:caps w:val="0"/>
          <w:color w:val="auto"/>
          <w:spacing w:val="0"/>
          <w:sz w:val="30"/>
          <w:szCs w:val="30"/>
          <w:shd w:val="clear" w:color="auto" w:fill="FFFFFF"/>
          <w:lang w:val="en-US" w:eastAsia="zh-CN"/>
        </w:rPr>
      </w:pPr>
      <w:r>
        <w:rPr>
          <w:rFonts w:hint="eastAsia" w:ascii="仿宋" w:hAnsi="仿宋" w:eastAsia="仿宋" w:cs="仿宋"/>
          <w:color w:val="auto"/>
          <w:sz w:val="30"/>
          <w:szCs w:val="30"/>
        </w:rPr>
        <w:t>　　第一条</w:t>
      </w:r>
      <w:r>
        <w:rPr>
          <w:rFonts w:hint="eastAsia" w:ascii="仿宋" w:hAnsi="仿宋" w:eastAsia="仿宋" w:cs="仿宋"/>
          <w:color w:val="auto"/>
          <w:sz w:val="30"/>
          <w:szCs w:val="30"/>
          <w:lang w:val="en-US" w:eastAsia="zh-CN"/>
        </w:rPr>
        <w:t xml:space="preserve">  </w:t>
      </w:r>
      <w:r>
        <w:rPr>
          <w:rFonts w:hint="eastAsia" w:ascii="仿宋" w:hAnsi="仿宋" w:eastAsia="仿宋" w:cs="仿宋"/>
          <w:b w:val="0"/>
          <w:bCs w:val="0"/>
          <w:color w:val="auto"/>
          <w:sz w:val="30"/>
          <w:szCs w:val="30"/>
          <w:lang w:val="en-US" w:eastAsia="zh-CN"/>
        </w:rPr>
        <w:t>为充分发挥协会在维护社会和谐稳定中的重要作用，根据《人民调节法》、《</w:t>
      </w:r>
      <w:r>
        <w:rPr>
          <w:rFonts w:hint="eastAsia" w:ascii="仿宋" w:hAnsi="仿宋" w:eastAsia="仿宋" w:cs="仿宋"/>
          <w:b w:val="0"/>
          <w:bCs w:val="0"/>
          <w:i w:val="0"/>
          <w:iCs w:val="0"/>
          <w:caps w:val="0"/>
          <w:color w:val="auto"/>
          <w:spacing w:val="0"/>
          <w:sz w:val="30"/>
          <w:szCs w:val="30"/>
          <w:shd w:val="clear" w:color="auto" w:fill="FFFFFF"/>
        </w:rPr>
        <w:t>山东省民政厅 山东省司法厅关于印发山东省</w:t>
      </w:r>
      <w:r>
        <w:rPr>
          <w:rFonts w:hint="eastAsia" w:ascii="仿宋" w:hAnsi="仿宋" w:eastAsia="仿宋" w:cs="仿宋"/>
          <w:b w:val="0"/>
          <w:bCs w:val="0"/>
          <w:i w:val="0"/>
          <w:iCs w:val="0"/>
          <w:caps w:val="0"/>
          <w:color w:val="auto"/>
          <w:spacing w:val="0"/>
          <w:sz w:val="30"/>
          <w:szCs w:val="30"/>
          <w:shd w:val="clear" w:color="auto" w:fill="FFFFFF"/>
          <w:lang w:eastAsia="zh-CN"/>
        </w:rPr>
        <w:t xml:space="preserve"> </w:t>
      </w:r>
      <w:r>
        <w:rPr>
          <w:rFonts w:hint="eastAsia" w:ascii="仿宋" w:hAnsi="仿宋" w:eastAsia="仿宋" w:cs="仿宋"/>
          <w:b w:val="0"/>
          <w:bCs w:val="0"/>
          <w:i w:val="0"/>
          <w:iCs w:val="0"/>
          <w:caps w:val="0"/>
          <w:color w:val="auto"/>
          <w:spacing w:val="0"/>
          <w:sz w:val="30"/>
          <w:szCs w:val="30"/>
          <w:shd w:val="clear" w:color="auto" w:fill="FFFFFF"/>
          <w:lang w:val="en-US" w:eastAsia="zh-CN"/>
        </w:rPr>
        <w:t>社会组织</w:t>
      </w:r>
      <w:r>
        <w:rPr>
          <w:rFonts w:hint="eastAsia" w:ascii="仿宋" w:hAnsi="仿宋" w:eastAsia="仿宋" w:cs="仿宋"/>
          <w:b w:val="0"/>
          <w:bCs w:val="0"/>
          <w:i w:val="0"/>
          <w:iCs w:val="0"/>
          <w:caps w:val="0"/>
          <w:color w:val="auto"/>
          <w:spacing w:val="0"/>
          <w:sz w:val="30"/>
          <w:szCs w:val="30"/>
          <w:shd w:val="clear" w:color="auto" w:fill="FFFFFF"/>
        </w:rPr>
        <w:t>人民调解工作办法（试行）的通知</w:t>
      </w:r>
      <w:r>
        <w:rPr>
          <w:rFonts w:hint="eastAsia" w:ascii="仿宋" w:hAnsi="仿宋" w:eastAsia="仿宋" w:cs="仿宋"/>
          <w:b w:val="0"/>
          <w:bCs w:val="0"/>
          <w:i w:val="0"/>
          <w:iCs w:val="0"/>
          <w:caps w:val="0"/>
          <w:color w:val="auto"/>
          <w:spacing w:val="0"/>
          <w:sz w:val="30"/>
          <w:szCs w:val="30"/>
          <w:shd w:val="clear" w:color="auto" w:fill="FFFFFF"/>
          <w:lang w:eastAsia="zh-CN"/>
        </w:rPr>
        <w:t>》</w:t>
      </w:r>
      <w:r>
        <w:rPr>
          <w:rFonts w:hint="eastAsia" w:ascii="仿宋" w:hAnsi="仿宋" w:eastAsia="仿宋" w:cs="仿宋"/>
          <w:b w:val="0"/>
          <w:bCs w:val="0"/>
          <w:i w:val="0"/>
          <w:iCs w:val="0"/>
          <w:caps w:val="0"/>
          <w:color w:val="auto"/>
          <w:spacing w:val="0"/>
          <w:sz w:val="30"/>
          <w:szCs w:val="30"/>
          <w:shd w:val="clear" w:color="auto" w:fill="FFFFFF"/>
          <w:lang w:val="en-US" w:eastAsia="zh-CN"/>
        </w:rPr>
        <w:t>(</w:t>
      </w:r>
      <w:r>
        <w:rPr>
          <w:rFonts w:hint="eastAsia" w:ascii="仿宋" w:hAnsi="仿宋" w:eastAsia="仿宋" w:cs="仿宋"/>
          <w:b w:val="0"/>
          <w:bCs w:val="0"/>
          <w:i w:val="0"/>
          <w:iCs w:val="0"/>
          <w:caps w:val="0"/>
          <w:color w:val="auto"/>
          <w:spacing w:val="0"/>
          <w:sz w:val="30"/>
          <w:szCs w:val="30"/>
          <w:shd w:val="clear" w:color="auto" w:fill="FFFFFF"/>
        </w:rPr>
        <w:t>鲁民〔2019〕14号</w:t>
      </w:r>
      <w:r>
        <w:rPr>
          <w:rFonts w:hint="eastAsia" w:ascii="仿宋" w:hAnsi="仿宋" w:eastAsia="仿宋" w:cs="仿宋"/>
          <w:b w:val="0"/>
          <w:bCs w:val="0"/>
          <w:i w:val="0"/>
          <w:iCs w:val="0"/>
          <w:caps w:val="0"/>
          <w:color w:val="auto"/>
          <w:spacing w:val="0"/>
          <w:sz w:val="30"/>
          <w:szCs w:val="30"/>
          <w:shd w:val="clear" w:color="auto" w:fill="FFFFFF"/>
          <w:lang w:val="en-US" w:eastAsia="zh-CN"/>
        </w:rPr>
        <w:t>)要求，制定本办法。</w:t>
      </w:r>
    </w:p>
    <w:p>
      <w:pPr>
        <w:rPr>
          <w:rFonts w:hint="eastAsia" w:ascii="仿宋" w:hAnsi="仿宋" w:eastAsia="仿宋" w:cs="仿宋"/>
          <w:color w:val="auto"/>
          <w:sz w:val="30"/>
          <w:szCs w:val="30"/>
        </w:rPr>
      </w:pPr>
      <w:r>
        <w:rPr>
          <w:rFonts w:hint="eastAsia" w:ascii="仿宋" w:hAnsi="仿宋" w:eastAsia="仿宋" w:cs="仿宋"/>
          <w:color w:val="auto"/>
          <w:sz w:val="30"/>
          <w:szCs w:val="30"/>
        </w:rPr>
        <w:t>　　第二条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本办法所称人民调解，是指</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人民调解委员会通过说服、疏导等方法，促使当事人在平等协商基础上自愿达成调解协议，妥善解决矛盾纠纷的活动。</w:t>
      </w:r>
    </w:p>
    <w:p>
      <w:pPr>
        <w:rPr>
          <w:rFonts w:hint="eastAsia" w:ascii="仿宋" w:hAnsi="仿宋" w:eastAsia="仿宋" w:cs="仿宋"/>
          <w:color w:val="auto"/>
          <w:sz w:val="30"/>
          <w:szCs w:val="30"/>
        </w:rPr>
      </w:pPr>
      <w:r>
        <w:rPr>
          <w:rFonts w:hint="eastAsia" w:ascii="仿宋" w:hAnsi="仿宋" w:eastAsia="仿宋" w:cs="仿宋"/>
          <w:color w:val="auto"/>
          <w:sz w:val="30"/>
          <w:szCs w:val="30"/>
        </w:rPr>
        <w:t>　　第三条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人民调解工作，应当遵循坚持党的领导、当事人自愿平等、不违背法律法规和国家政策、尊重当事人权利等原则。</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本会</w:t>
      </w:r>
      <w:r>
        <w:rPr>
          <w:rFonts w:hint="eastAsia" w:ascii="仿宋" w:hAnsi="仿宋" w:eastAsia="仿宋" w:cs="仿宋"/>
          <w:color w:val="auto"/>
          <w:sz w:val="30"/>
          <w:szCs w:val="30"/>
        </w:rPr>
        <w:t>人民调解委员会调解矛盾纠纷，不收取任何费用。</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人民调解工作应当自觉接受</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党组织的领导。</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p>
    <w:p>
      <w:pPr>
        <w:jc w:val="center"/>
        <w:rPr>
          <w:rFonts w:hint="eastAsia" w:ascii="仿宋" w:hAnsi="仿宋" w:eastAsia="仿宋" w:cs="仿宋"/>
          <w:b/>
          <w:bCs/>
          <w:i w:val="0"/>
          <w:iCs w:val="0"/>
          <w:color w:val="auto"/>
          <w:sz w:val="30"/>
          <w:szCs w:val="30"/>
        </w:rPr>
      </w:pP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bCs/>
          <w:i w:val="0"/>
          <w:iCs w:val="0"/>
          <w:color w:val="auto"/>
          <w:sz w:val="30"/>
          <w:szCs w:val="30"/>
        </w:rPr>
        <w:t>第二章</w:t>
      </w:r>
      <w:r>
        <w:rPr>
          <w:rFonts w:hint="eastAsia" w:ascii="仿宋" w:hAnsi="仿宋" w:eastAsia="仿宋" w:cs="仿宋"/>
          <w:b/>
          <w:bCs/>
          <w:i w:val="0"/>
          <w:iCs w:val="0"/>
          <w:color w:val="auto"/>
          <w:sz w:val="30"/>
          <w:szCs w:val="30"/>
          <w:lang w:eastAsia="zh-CN"/>
        </w:rPr>
        <w:t xml:space="preserve">    本会</w:t>
      </w:r>
      <w:r>
        <w:rPr>
          <w:rFonts w:hint="eastAsia" w:ascii="仿宋" w:hAnsi="仿宋" w:eastAsia="仿宋" w:cs="仿宋"/>
          <w:b/>
          <w:bCs/>
          <w:i w:val="0"/>
          <w:iCs w:val="0"/>
          <w:color w:val="auto"/>
          <w:sz w:val="30"/>
          <w:szCs w:val="30"/>
        </w:rPr>
        <w:t>人民调解委员会</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本会</w:t>
      </w:r>
      <w:r>
        <w:rPr>
          <w:rFonts w:hint="eastAsia" w:ascii="仿宋" w:hAnsi="仿宋" w:eastAsia="仿宋" w:cs="仿宋"/>
          <w:color w:val="auto"/>
          <w:sz w:val="30"/>
          <w:szCs w:val="30"/>
        </w:rPr>
        <w:t>人民调解委员会由委员三至九人组成，设主任一人，副主任二至四人，应当有妇女成员</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配备三名以上专职人民调解员。</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七</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本会</w:t>
      </w:r>
      <w:r>
        <w:rPr>
          <w:rFonts w:hint="eastAsia" w:ascii="仿宋" w:hAnsi="仿宋" w:eastAsia="仿宋" w:cs="仿宋"/>
          <w:color w:val="auto"/>
          <w:sz w:val="30"/>
          <w:szCs w:val="30"/>
        </w:rPr>
        <w:t>人民调解委员会通过</w:t>
      </w:r>
      <w:r>
        <w:rPr>
          <w:rFonts w:hint="eastAsia" w:ascii="仿宋" w:hAnsi="仿宋" w:eastAsia="仿宋" w:cs="仿宋"/>
          <w:color w:val="auto"/>
          <w:sz w:val="30"/>
          <w:szCs w:val="30"/>
          <w:lang w:val="en-US" w:eastAsia="zh-CN"/>
        </w:rPr>
        <w:t>会员代表大会审议通过</w:t>
      </w:r>
      <w:r>
        <w:rPr>
          <w:rFonts w:hint="eastAsia" w:ascii="仿宋" w:hAnsi="仿宋" w:eastAsia="仿宋" w:cs="仿宋"/>
          <w:color w:val="auto"/>
          <w:sz w:val="30"/>
          <w:szCs w:val="30"/>
        </w:rPr>
        <w:t>产生，每届任期三年，可以连选连任，人员名单应当向社会公开。</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八</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本会</w:t>
      </w:r>
      <w:r>
        <w:rPr>
          <w:rFonts w:hint="eastAsia" w:ascii="仿宋" w:hAnsi="仿宋" w:eastAsia="仿宋" w:cs="仿宋"/>
          <w:color w:val="auto"/>
          <w:sz w:val="30"/>
          <w:szCs w:val="30"/>
        </w:rPr>
        <w:t>人民调解委员会履行以下职责：</w:t>
      </w:r>
    </w:p>
    <w:p>
      <w:pPr>
        <w:ind w:firstLine="603"/>
        <w:rPr>
          <w:rFonts w:ascii="微软雅黑" w:hAnsi="微软雅黑" w:eastAsia="微软雅黑" w:cs="微软雅黑"/>
          <w:i w:val="0"/>
          <w:iCs w:val="0"/>
          <w:caps w:val="0"/>
          <w:color w:val="auto"/>
          <w:spacing w:val="0"/>
          <w:sz w:val="27"/>
          <w:szCs w:val="27"/>
          <w:shd w:val="clear" w:color="auto" w:fill="FFFFFF"/>
        </w:rPr>
      </w:pPr>
      <w:r>
        <w:rPr>
          <w:rFonts w:hint="eastAsia" w:ascii="仿宋" w:hAnsi="仿宋" w:eastAsia="仿宋" w:cs="仿宋"/>
          <w:color w:val="auto"/>
          <w:sz w:val="30"/>
          <w:szCs w:val="30"/>
        </w:rPr>
        <w:t>（一）</w:t>
      </w:r>
      <w:r>
        <w:rPr>
          <w:rFonts w:hint="eastAsia" w:ascii="仿宋" w:hAnsi="仿宋" w:eastAsia="仿宋" w:cs="仿宋"/>
          <w:i w:val="0"/>
          <w:iCs w:val="0"/>
          <w:caps w:val="0"/>
          <w:color w:val="auto"/>
          <w:spacing w:val="0"/>
          <w:sz w:val="30"/>
          <w:szCs w:val="30"/>
          <w:shd w:val="clear" w:color="auto" w:fill="FFFFFF"/>
        </w:rPr>
        <w:t>调解社会组织内部、社会组织之间以及行业、专业领域的矛盾纠纷；</w:t>
      </w:r>
    </w:p>
    <w:p>
      <w:pPr>
        <w:ind w:firstLine="603"/>
        <w:rPr>
          <w:rFonts w:hint="eastAsia" w:ascii="仿宋" w:hAnsi="仿宋" w:eastAsia="仿宋" w:cs="仿宋"/>
          <w:color w:val="auto"/>
          <w:sz w:val="30"/>
          <w:szCs w:val="30"/>
        </w:rPr>
      </w:pPr>
      <w:r>
        <w:rPr>
          <w:rFonts w:hint="eastAsia" w:ascii="仿宋" w:hAnsi="仿宋" w:eastAsia="仿宋" w:cs="仿宋"/>
          <w:color w:val="auto"/>
          <w:sz w:val="30"/>
          <w:szCs w:val="30"/>
        </w:rPr>
        <w:t>（二）引导当事人履行和解协议；</w:t>
      </w:r>
    </w:p>
    <w:p>
      <w:pPr>
        <w:rPr>
          <w:rFonts w:hint="eastAsia" w:ascii="仿宋" w:hAnsi="仿宋" w:eastAsia="仿宋" w:cs="仿宋"/>
          <w:color w:val="auto"/>
          <w:sz w:val="30"/>
          <w:szCs w:val="30"/>
        </w:rPr>
      </w:pPr>
      <w:r>
        <w:rPr>
          <w:rFonts w:hint="eastAsia" w:ascii="仿宋" w:hAnsi="仿宋" w:eastAsia="仿宋" w:cs="仿宋"/>
          <w:color w:val="auto"/>
          <w:sz w:val="30"/>
          <w:szCs w:val="30"/>
        </w:rPr>
        <w:t>　　（三）宣传法律法规和政策；</w:t>
      </w:r>
    </w:p>
    <w:p>
      <w:pPr>
        <w:rPr>
          <w:rFonts w:hint="eastAsia" w:ascii="仿宋" w:hAnsi="仿宋" w:eastAsia="仿宋" w:cs="仿宋"/>
          <w:color w:val="auto"/>
          <w:sz w:val="30"/>
          <w:szCs w:val="30"/>
        </w:rPr>
      </w:pPr>
      <w:r>
        <w:rPr>
          <w:rFonts w:hint="eastAsia" w:ascii="仿宋" w:hAnsi="仿宋" w:eastAsia="仿宋" w:cs="仿宋"/>
          <w:color w:val="auto"/>
          <w:sz w:val="30"/>
          <w:szCs w:val="30"/>
        </w:rPr>
        <w:t>　　（四）聘任、解聘、管理人民调解员。</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九</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本会</w:t>
      </w:r>
      <w:r>
        <w:rPr>
          <w:rFonts w:hint="eastAsia" w:ascii="仿宋" w:hAnsi="仿宋" w:eastAsia="仿宋" w:cs="仿宋"/>
          <w:color w:val="auto"/>
          <w:sz w:val="30"/>
          <w:szCs w:val="30"/>
        </w:rPr>
        <w:t>人民调解委员</w:t>
      </w:r>
      <w:r>
        <w:rPr>
          <w:rFonts w:hint="eastAsia" w:ascii="仿宋" w:hAnsi="仿宋" w:eastAsia="仿宋" w:cs="仿宋"/>
          <w:color w:val="auto"/>
          <w:sz w:val="30"/>
          <w:szCs w:val="30"/>
          <w:lang w:val="en-US" w:eastAsia="zh-CN"/>
        </w:rPr>
        <w:t>会</w:t>
      </w:r>
      <w:r>
        <w:rPr>
          <w:rFonts w:hint="eastAsia" w:ascii="仿宋" w:hAnsi="仿宋" w:eastAsia="仿宋" w:cs="仿宋"/>
          <w:color w:val="auto"/>
          <w:sz w:val="30"/>
          <w:szCs w:val="30"/>
        </w:rPr>
        <w:t>自设立或变更之日起三十日内，向所在地县级以上地方人民政府司法行政部门备案。对照《关于进一步规范人民调解组织名称和标识的通知》（司基字〔2011〕9号）和《山东省人民调解委员会规范化建设标准》（鲁司〔2014〕141号），加强规范化建设。</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p>
    <w:p>
      <w:pPr>
        <w:jc w:val="center"/>
        <w:rPr>
          <w:rFonts w:hint="eastAsia" w:ascii="仿宋" w:hAnsi="仿宋" w:eastAsia="仿宋" w:cs="仿宋"/>
          <w:b/>
          <w:bCs/>
          <w:i w:val="0"/>
          <w:iCs w:val="0"/>
          <w:color w:val="auto"/>
          <w:sz w:val="30"/>
          <w:szCs w:val="30"/>
        </w:rPr>
      </w:pPr>
      <w:r>
        <w:rPr>
          <w:rFonts w:hint="eastAsia" w:ascii="仿宋" w:hAnsi="仿宋" w:eastAsia="仿宋" w:cs="仿宋"/>
          <w:b/>
          <w:bCs/>
          <w:i w:val="0"/>
          <w:iCs w:val="0"/>
          <w:color w:val="auto"/>
          <w:sz w:val="30"/>
          <w:szCs w:val="30"/>
        </w:rPr>
        <w:t>第</w:t>
      </w:r>
      <w:r>
        <w:rPr>
          <w:rFonts w:hint="eastAsia" w:ascii="仿宋" w:hAnsi="仿宋" w:eastAsia="仿宋" w:cs="仿宋"/>
          <w:b/>
          <w:bCs/>
          <w:i w:val="0"/>
          <w:iCs w:val="0"/>
          <w:color w:val="auto"/>
          <w:sz w:val="30"/>
          <w:szCs w:val="30"/>
          <w:lang w:val="en-US" w:eastAsia="zh-CN"/>
        </w:rPr>
        <w:t>三</w:t>
      </w:r>
      <w:r>
        <w:rPr>
          <w:rFonts w:hint="eastAsia" w:ascii="仿宋" w:hAnsi="仿宋" w:eastAsia="仿宋" w:cs="仿宋"/>
          <w:b/>
          <w:bCs/>
          <w:i w:val="0"/>
          <w:iCs w:val="0"/>
          <w:color w:val="auto"/>
          <w:sz w:val="30"/>
          <w:szCs w:val="30"/>
        </w:rPr>
        <w:t>章</w:t>
      </w: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bCs/>
          <w:i w:val="0"/>
          <w:iCs w:val="0"/>
          <w:color w:val="auto"/>
          <w:sz w:val="30"/>
          <w:szCs w:val="30"/>
        </w:rPr>
        <w:t>调解程序</w:t>
      </w:r>
    </w:p>
    <w:p>
      <w:pPr>
        <w:rPr>
          <w:rFonts w:hint="eastAsia" w:ascii="仿宋" w:hAnsi="仿宋" w:eastAsia="仿宋" w:cs="仿宋"/>
          <w:color w:val="auto"/>
          <w:sz w:val="30"/>
          <w:szCs w:val="30"/>
        </w:rPr>
      </w:pPr>
      <w:r>
        <w:rPr>
          <w:rFonts w:hint="eastAsia" w:ascii="仿宋" w:hAnsi="仿宋" w:eastAsia="仿宋" w:cs="仿宋"/>
          <w:color w:val="auto"/>
          <w:sz w:val="30"/>
          <w:szCs w:val="30"/>
        </w:rPr>
        <w:t>　　第十条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 xml:space="preserve"> 本会</w:t>
      </w:r>
      <w:r>
        <w:rPr>
          <w:rFonts w:hint="eastAsia" w:ascii="仿宋" w:hAnsi="仿宋" w:eastAsia="仿宋" w:cs="仿宋"/>
          <w:color w:val="auto"/>
          <w:sz w:val="30"/>
          <w:szCs w:val="30"/>
        </w:rPr>
        <w:t>矛盾纠纷当事人可以向</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人民调解委员会申请调解，</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人民调解委员会也可以主动调解。当事人一方明确拒绝调解的，不得调解。</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eastAsia="zh-CN"/>
        </w:rPr>
        <w:t xml:space="preserve"> </w:t>
      </w:r>
      <w:r>
        <w:rPr>
          <w:rFonts w:hint="eastAsia" w:ascii="仿宋" w:hAnsi="仿宋" w:eastAsia="仿宋" w:cs="仿宋"/>
          <w:color w:val="auto"/>
          <w:sz w:val="30"/>
          <w:szCs w:val="30"/>
        </w:rPr>
        <w:t>第十</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人民调解委员会根据调解矛盾纠纷类型和内容需要，指派或由当事人选择一名或者数名人民调解员进行调解。</w:t>
      </w:r>
    </w:p>
    <w:p>
      <w:pPr>
        <w:rPr>
          <w:rFonts w:hint="eastAsia" w:ascii="仿宋" w:hAnsi="仿宋" w:eastAsia="仿宋" w:cs="仿宋"/>
          <w:color w:val="auto"/>
          <w:sz w:val="30"/>
          <w:szCs w:val="30"/>
        </w:rPr>
      </w:pPr>
      <w:r>
        <w:rPr>
          <w:rFonts w:hint="eastAsia" w:ascii="仿宋" w:hAnsi="仿宋" w:eastAsia="仿宋" w:cs="仿宋"/>
          <w:color w:val="auto"/>
          <w:sz w:val="30"/>
          <w:szCs w:val="30"/>
        </w:rPr>
        <w:t>　　第十</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当事人在</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调解活动中享有下列权利：</w:t>
      </w:r>
    </w:p>
    <w:p>
      <w:pPr>
        <w:rPr>
          <w:rFonts w:hint="eastAsia" w:ascii="仿宋" w:hAnsi="仿宋" w:eastAsia="仿宋" w:cs="仿宋"/>
          <w:color w:val="auto"/>
          <w:sz w:val="30"/>
          <w:szCs w:val="30"/>
        </w:rPr>
      </w:pPr>
      <w:r>
        <w:rPr>
          <w:rFonts w:hint="eastAsia" w:ascii="仿宋" w:hAnsi="仿宋" w:eastAsia="仿宋" w:cs="仿宋"/>
          <w:color w:val="auto"/>
          <w:sz w:val="30"/>
          <w:szCs w:val="30"/>
        </w:rPr>
        <w:t>　　（一）选择或接受人民调解员；</w:t>
      </w:r>
    </w:p>
    <w:p>
      <w:pPr>
        <w:rPr>
          <w:rFonts w:hint="eastAsia" w:ascii="仿宋" w:hAnsi="仿宋" w:eastAsia="仿宋" w:cs="仿宋"/>
          <w:color w:val="auto"/>
          <w:sz w:val="30"/>
          <w:szCs w:val="30"/>
        </w:rPr>
      </w:pPr>
      <w:r>
        <w:rPr>
          <w:rFonts w:hint="eastAsia" w:ascii="仿宋" w:hAnsi="仿宋" w:eastAsia="仿宋" w:cs="仿宋"/>
          <w:color w:val="auto"/>
          <w:sz w:val="30"/>
          <w:szCs w:val="30"/>
        </w:rPr>
        <w:t>　　（二）接受调解、拒绝调解或者要求终止调解；</w:t>
      </w:r>
    </w:p>
    <w:p>
      <w:pPr>
        <w:rPr>
          <w:rFonts w:hint="eastAsia" w:ascii="仿宋" w:hAnsi="仿宋" w:eastAsia="仿宋" w:cs="仿宋"/>
          <w:color w:val="auto"/>
          <w:sz w:val="30"/>
          <w:szCs w:val="30"/>
        </w:rPr>
      </w:pPr>
      <w:r>
        <w:rPr>
          <w:rFonts w:hint="eastAsia" w:ascii="仿宋" w:hAnsi="仿宋" w:eastAsia="仿宋" w:cs="仿宋"/>
          <w:color w:val="auto"/>
          <w:sz w:val="30"/>
          <w:szCs w:val="30"/>
        </w:rPr>
        <w:t>　　（三）要求调解公开进行或者不公开进行；</w:t>
      </w:r>
    </w:p>
    <w:p>
      <w:pPr>
        <w:rPr>
          <w:rFonts w:hint="eastAsia" w:ascii="仿宋" w:hAnsi="仿宋" w:eastAsia="仿宋" w:cs="仿宋"/>
          <w:color w:val="auto"/>
          <w:sz w:val="30"/>
          <w:szCs w:val="30"/>
        </w:rPr>
      </w:pPr>
      <w:r>
        <w:rPr>
          <w:rFonts w:hint="eastAsia" w:ascii="仿宋" w:hAnsi="仿宋" w:eastAsia="仿宋" w:cs="仿宋"/>
          <w:color w:val="auto"/>
          <w:sz w:val="30"/>
          <w:szCs w:val="30"/>
        </w:rPr>
        <w:t>　　（四）自主表达意愿、自愿达成调解协议或和解。</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十三</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当事人在</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调解活动中履行下列义务：</w:t>
      </w:r>
    </w:p>
    <w:p>
      <w:pPr>
        <w:rPr>
          <w:rFonts w:hint="eastAsia" w:ascii="仿宋" w:hAnsi="仿宋" w:eastAsia="仿宋" w:cs="仿宋"/>
          <w:color w:val="auto"/>
          <w:sz w:val="30"/>
          <w:szCs w:val="30"/>
        </w:rPr>
      </w:pPr>
      <w:r>
        <w:rPr>
          <w:rFonts w:hint="eastAsia" w:ascii="仿宋" w:hAnsi="仿宋" w:eastAsia="仿宋" w:cs="仿宋"/>
          <w:color w:val="auto"/>
          <w:sz w:val="30"/>
          <w:szCs w:val="30"/>
        </w:rPr>
        <w:t>　　（一）如实陈述矛盾纠纷事实；</w:t>
      </w:r>
    </w:p>
    <w:p>
      <w:pPr>
        <w:rPr>
          <w:rFonts w:hint="eastAsia" w:ascii="仿宋" w:hAnsi="仿宋" w:eastAsia="仿宋" w:cs="仿宋"/>
          <w:color w:val="auto"/>
          <w:sz w:val="30"/>
          <w:szCs w:val="30"/>
        </w:rPr>
      </w:pPr>
      <w:r>
        <w:rPr>
          <w:rFonts w:hint="eastAsia" w:ascii="仿宋" w:hAnsi="仿宋" w:eastAsia="仿宋" w:cs="仿宋"/>
          <w:color w:val="auto"/>
          <w:sz w:val="30"/>
          <w:szCs w:val="30"/>
        </w:rPr>
        <w:t>　　（二）尊重对方当事人行使权利；</w:t>
      </w:r>
    </w:p>
    <w:p>
      <w:pPr>
        <w:rPr>
          <w:rFonts w:hint="eastAsia" w:ascii="仿宋" w:hAnsi="仿宋" w:eastAsia="仿宋" w:cs="仿宋"/>
          <w:color w:val="auto"/>
          <w:sz w:val="30"/>
          <w:szCs w:val="30"/>
        </w:rPr>
      </w:pPr>
      <w:r>
        <w:rPr>
          <w:rFonts w:hint="eastAsia" w:ascii="仿宋" w:hAnsi="仿宋" w:eastAsia="仿宋" w:cs="仿宋"/>
          <w:color w:val="auto"/>
          <w:sz w:val="30"/>
          <w:szCs w:val="30"/>
        </w:rPr>
        <w:t>　　（三）遵守调解现场秩序，尊重</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人民调解员。</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十四</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当事人可以书面或者口头申请调解。口头申请的，由人民调解员记录在案。</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第十五</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 xml:space="preserve"> 本会</w:t>
      </w:r>
      <w:r>
        <w:rPr>
          <w:rFonts w:hint="eastAsia" w:ascii="仿宋" w:hAnsi="仿宋" w:eastAsia="仿宋" w:cs="仿宋"/>
          <w:color w:val="auto"/>
          <w:sz w:val="30"/>
          <w:szCs w:val="30"/>
        </w:rPr>
        <w:t>人民调解员调解矛盾纠纷按照下列程序进行：</w:t>
      </w:r>
    </w:p>
    <w:p>
      <w:pPr>
        <w:rPr>
          <w:rFonts w:hint="eastAsia" w:ascii="仿宋" w:hAnsi="仿宋" w:eastAsia="仿宋" w:cs="仿宋"/>
          <w:color w:val="auto"/>
          <w:sz w:val="30"/>
          <w:szCs w:val="30"/>
        </w:rPr>
      </w:pPr>
      <w:r>
        <w:rPr>
          <w:rFonts w:hint="eastAsia" w:ascii="仿宋" w:hAnsi="仿宋" w:eastAsia="仿宋" w:cs="仿宋"/>
          <w:color w:val="auto"/>
          <w:sz w:val="30"/>
          <w:szCs w:val="30"/>
        </w:rPr>
        <w:t>　　（一）听取当事人陈述、要求及理由；</w:t>
      </w:r>
    </w:p>
    <w:p>
      <w:pPr>
        <w:rPr>
          <w:rFonts w:hint="eastAsia" w:ascii="仿宋" w:hAnsi="仿宋" w:eastAsia="仿宋" w:cs="仿宋"/>
          <w:color w:val="auto"/>
          <w:sz w:val="30"/>
          <w:szCs w:val="30"/>
        </w:rPr>
      </w:pPr>
      <w:r>
        <w:rPr>
          <w:rFonts w:hint="eastAsia" w:ascii="仿宋" w:hAnsi="仿宋" w:eastAsia="仿宋" w:cs="仿宋"/>
          <w:color w:val="auto"/>
          <w:sz w:val="30"/>
          <w:szCs w:val="30"/>
        </w:rPr>
        <w:t>　　（二）询问当事人，核实证据材料，查明事实，分清责任；</w:t>
      </w:r>
    </w:p>
    <w:p>
      <w:pPr>
        <w:rPr>
          <w:rFonts w:hint="eastAsia" w:ascii="仿宋" w:hAnsi="仿宋" w:eastAsia="仿宋" w:cs="仿宋"/>
          <w:color w:val="auto"/>
          <w:sz w:val="30"/>
          <w:szCs w:val="30"/>
        </w:rPr>
      </w:pPr>
      <w:r>
        <w:rPr>
          <w:rFonts w:hint="eastAsia" w:ascii="仿宋" w:hAnsi="仿宋" w:eastAsia="仿宋" w:cs="仿宋"/>
          <w:color w:val="auto"/>
          <w:sz w:val="30"/>
          <w:szCs w:val="30"/>
        </w:rPr>
        <w:t>　　（三）规劝疏导当事人，组织商定调解协议内容。</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十六</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人民调解员调解矛盾纠纷应当制作调解笔录。调解笔录应当交当事人核对，由当事人和人民调解员签名或者按指印确认。</w:t>
      </w:r>
    </w:p>
    <w:p>
      <w:pPr>
        <w:rPr>
          <w:rFonts w:hint="eastAsia" w:ascii="仿宋" w:hAnsi="仿宋" w:eastAsia="仿宋" w:cs="仿宋"/>
          <w:color w:val="auto"/>
          <w:sz w:val="30"/>
          <w:szCs w:val="30"/>
        </w:rPr>
      </w:pPr>
      <w:r>
        <w:rPr>
          <w:rFonts w:hint="eastAsia" w:ascii="仿宋" w:hAnsi="仿宋" w:eastAsia="仿宋" w:cs="仿宋"/>
          <w:color w:val="auto"/>
          <w:sz w:val="30"/>
          <w:szCs w:val="30"/>
        </w:rPr>
        <w:t>　　</w:t>
      </w:r>
    </w:p>
    <w:p>
      <w:pPr>
        <w:jc w:val="center"/>
        <w:rPr>
          <w:rFonts w:hint="eastAsia" w:ascii="仿宋" w:hAnsi="仿宋" w:eastAsia="仿宋" w:cs="仿宋"/>
          <w:b/>
          <w:bCs/>
          <w:i w:val="0"/>
          <w:iCs w:val="0"/>
          <w:color w:val="auto"/>
          <w:sz w:val="30"/>
          <w:szCs w:val="30"/>
        </w:rPr>
      </w:pPr>
      <w:r>
        <w:rPr>
          <w:rFonts w:hint="eastAsia" w:ascii="仿宋" w:hAnsi="仿宋" w:eastAsia="仿宋" w:cs="仿宋"/>
          <w:b/>
          <w:bCs/>
          <w:i w:val="0"/>
          <w:iCs w:val="0"/>
          <w:color w:val="auto"/>
          <w:sz w:val="30"/>
          <w:szCs w:val="30"/>
        </w:rPr>
        <w:t>第</w:t>
      </w:r>
      <w:r>
        <w:rPr>
          <w:rFonts w:hint="eastAsia" w:ascii="仿宋" w:hAnsi="仿宋" w:eastAsia="仿宋" w:cs="仿宋"/>
          <w:b/>
          <w:bCs/>
          <w:i w:val="0"/>
          <w:iCs w:val="0"/>
          <w:color w:val="auto"/>
          <w:sz w:val="30"/>
          <w:szCs w:val="30"/>
          <w:lang w:val="en-US" w:eastAsia="zh-CN"/>
        </w:rPr>
        <w:t>四</w:t>
      </w:r>
      <w:r>
        <w:rPr>
          <w:rFonts w:hint="eastAsia" w:ascii="仿宋" w:hAnsi="仿宋" w:eastAsia="仿宋" w:cs="仿宋"/>
          <w:b/>
          <w:bCs/>
          <w:i w:val="0"/>
          <w:iCs w:val="0"/>
          <w:color w:val="auto"/>
          <w:sz w:val="30"/>
          <w:szCs w:val="30"/>
        </w:rPr>
        <w:t>章 调解协议</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十七</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经</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人民调解委员会调解达成调解协议的，可以制作调解协议书。当事人认为无需制作调解协议书的，可以采取口头协议方式，</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人民调解员应当记录协议内容。</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十八</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调解协议书应当载明下列事项：</w:t>
      </w:r>
    </w:p>
    <w:p>
      <w:pPr>
        <w:rPr>
          <w:rFonts w:hint="eastAsia" w:ascii="仿宋" w:hAnsi="仿宋" w:eastAsia="仿宋" w:cs="仿宋"/>
          <w:color w:val="auto"/>
          <w:sz w:val="30"/>
          <w:szCs w:val="30"/>
        </w:rPr>
      </w:pPr>
      <w:r>
        <w:rPr>
          <w:rFonts w:hint="eastAsia" w:ascii="仿宋" w:hAnsi="仿宋" w:eastAsia="仿宋" w:cs="仿宋"/>
          <w:color w:val="auto"/>
          <w:sz w:val="30"/>
          <w:szCs w:val="30"/>
        </w:rPr>
        <w:t>　　（一）当事人的基本情况；</w:t>
      </w:r>
    </w:p>
    <w:p>
      <w:pPr>
        <w:rPr>
          <w:rFonts w:hint="eastAsia" w:ascii="仿宋" w:hAnsi="仿宋" w:eastAsia="仿宋" w:cs="仿宋"/>
          <w:color w:val="auto"/>
          <w:sz w:val="30"/>
          <w:szCs w:val="30"/>
        </w:rPr>
      </w:pPr>
      <w:r>
        <w:rPr>
          <w:rFonts w:hint="eastAsia" w:ascii="仿宋" w:hAnsi="仿宋" w:eastAsia="仿宋" w:cs="仿宋"/>
          <w:color w:val="auto"/>
          <w:sz w:val="30"/>
          <w:szCs w:val="30"/>
        </w:rPr>
        <w:t>　　（二）矛盾纠纷的主要事实、争议事项以及各方当事人的责任；</w:t>
      </w:r>
    </w:p>
    <w:p>
      <w:pPr>
        <w:rPr>
          <w:rFonts w:hint="eastAsia" w:ascii="仿宋" w:hAnsi="仿宋" w:eastAsia="仿宋" w:cs="仿宋"/>
          <w:color w:val="auto"/>
          <w:sz w:val="30"/>
          <w:szCs w:val="30"/>
        </w:rPr>
      </w:pPr>
      <w:r>
        <w:rPr>
          <w:rFonts w:hint="eastAsia" w:ascii="仿宋" w:hAnsi="仿宋" w:eastAsia="仿宋" w:cs="仿宋"/>
          <w:color w:val="auto"/>
          <w:sz w:val="30"/>
          <w:szCs w:val="30"/>
        </w:rPr>
        <w:t>　　（三）当事人达成调解协议的内容，履行的方式、日期等。</w:t>
      </w:r>
    </w:p>
    <w:p>
      <w:pPr>
        <w:rPr>
          <w:rFonts w:hint="eastAsia" w:ascii="仿宋" w:hAnsi="仿宋" w:eastAsia="仿宋" w:cs="仿宋"/>
          <w:color w:val="auto"/>
          <w:sz w:val="30"/>
          <w:szCs w:val="30"/>
        </w:rPr>
      </w:pPr>
      <w:r>
        <w:rPr>
          <w:rFonts w:hint="eastAsia" w:ascii="仿宋" w:hAnsi="仿宋" w:eastAsia="仿宋" w:cs="仿宋"/>
          <w:color w:val="auto"/>
          <w:sz w:val="30"/>
          <w:szCs w:val="30"/>
        </w:rPr>
        <w:t>　　调解协议书自各方当事人签名、盖章或者按指印，调解协议书由当事人各执一份，</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人民调解委员会留存一份。</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十九</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经</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人民调解委员会调解达成的调解协议，具有法律约束力，当事人应当按照约定履行。</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二十</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本会</w:t>
      </w:r>
      <w:r>
        <w:rPr>
          <w:rFonts w:hint="eastAsia" w:ascii="仿宋" w:hAnsi="仿宋" w:eastAsia="仿宋" w:cs="仿宋"/>
          <w:color w:val="auto"/>
          <w:sz w:val="30"/>
          <w:szCs w:val="30"/>
        </w:rPr>
        <w:t>人民调解委员会应当对调解协议的履行情况进行监督，督促当事人履行约定的义务。</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二十一</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经人民调解委员会调解达成调解协议后，双方当事人认为有必要的，可以自调解协议生效之日起三十日内共同向人民法院申请司法确认；当事人之间就调解协议履行或者调解协议的内容发生争议的，一方当事人可以向人民法院提起诉讼。</w:t>
      </w:r>
    </w:p>
    <w:p>
      <w:pPr>
        <w:jc w:val="center"/>
        <w:rPr>
          <w:rFonts w:hint="eastAsia" w:ascii="仿宋" w:hAnsi="仿宋" w:eastAsia="仿宋" w:cs="仿宋"/>
          <w:b/>
          <w:bCs/>
          <w:i w:val="0"/>
          <w:iCs w:val="0"/>
          <w:color w:val="auto"/>
          <w:sz w:val="30"/>
          <w:szCs w:val="30"/>
        </w:rPr>
      </w:pPr>
    </w:p>
    <w:p>
      <w:pPr>
        <w:jc w:val="center"/>
        <w:rPr>
          <w:rFonts w:hint="eastAsia" w:ascii="仿宋" w:hAnsi="仿宋" w:eastAsia="仿宋" w:cs="仿宋"/>
          <w:b/>
          <w:bCs/>
          <w:i w:val="0"/>
          <w:iCs w:val="0"/>
          <w:color w:val="auto"/>
          <w:sz w:val="30"/>
          <w:szCs w:val="30"/>
        </w:rPr>
      </w:pPr>
      <w:r>
        <w:rPr>
          <w:rFonts w:hint="eastAsia" w:ascii="仿宋" w:hAnsi="仿宋" w:eastAsia="仿宋" w:cs="仿宋"/>
          <w:b/>
          <w:bCs/>
          <w:i w:val="0"/>
          <w:iCs w:val="0"/>
          <w:color w:val="auto"/>
          <w:sz w:val="30"/>
          <w:szCs w:val="30"/>
        </w:rPr>
        <w:t>第</w:t>
      </w:r>
      <w:r>
        <w:rPr>
          <w:rFonts w:hint="eastAsia" w:ascii="仿宋" w:hAnsi="仿宋" w:eastAsia="仿宋" w:cs="仿宋"/>
          <w:b/>
          <w:bCs/>
          <w:i w:val="0"/>
          <w:iCs w:val="0"/>
          <w:color w:val="auto"/>
          <w:sz w:val="30"/>
          <w:szCs w:val="30"/>
          <w:lang w:val="en-US" w:eastAsia="zh-CN"/>
        </w:rPr>
        <w:t>五</w:t>
      </w:r>
      <w:r>
        <w:rPr>
          <w:rFonts w:hint="eastAsia" w:ascii="仿宋" w:hAnsi="仿宋" w:eastAsia="仿宋" w:cs="仿宋"/>
          <w:b/>
          <w:bCs/>
          <w:i w:val="0"/>
          <w:iCs w:val="0"/>
          <w:color w:val="auto"/>
          <w:sz w:val="30"/>
          <w:szCs w:val="30"/>
        </w:rPr>
        <w:t>章</w:t>
      </w: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bCs/>
          <w:i w:val="0"/>
          <w:iCs w:val="0"/>
          <w:color w:val="auto"/>
          <w:sz w:val="30"/>
          <w:szCs w:val="30"/>
        </w:rPr>
        <w:t xml:space="preserve"> 附</w:t>
      </w: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bCs/>
          <w:i w:val="0"/>
          <w:iCs w:val="0"/>
          <w:color w:val="auto"/>
          <w:sz w:val="30"/>
          <w:szCs w:val="30"/>
        </w:rPr>
        <w:t>则</w:t>
      </w:r>
    </w:p>
    <w:p>
      <w:pPr>
        <w:rPr>
          <w:rFonts w:hint="eastAsia" w:ascii="仿宋" w:hAnsi="仿宋" w:eastAsia="仿宋" w:cs="仿宋"/>
          <w:color w:val="auto"/>
          <w:sz w:val="30"/>
          <w:szCs w:val="30"/>
        </w:rPr>
      </w:pPr>
      <w:r>
        <w:rPr>
          <w:rFonts w:hint="eastAsia" w:ascii="仿宋" w:hAnsi="仿宋" w:eastAsia="仿宋" w:cs="仿宋"/>
          <w:color w:val="auto"/>
          <w:sz w:val="30"/>
          <w:szCs w:val="30"/>
        </w:rPr>
        <w:t>　　第</w:t>
      </w:r>
      <w:r>
        <w:rPr>
          <w:rFonts w:hint="eastAsia" w:ascii="仿宋" w:hAnsi="仿宋" w:eastAsia="仿宋" w:cs="仿宋"/>
          <w:color w:val="auto"/>
          <w:sz w:val="30"/>
          <w:szCs w:val="30"/>
          <w:lang w:val="en-US" w:eastAsia="zh-CN"/>
        </w:rPr>
        <w:t>二十二</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本办法</w:t>
      </w:r>
      <w:r>
        <w:rPr>
          <w:rFonts w:hint="eastAsia" w:ascii="仿宋" w:hAnsi="仿宋" w:eastAsia="仿宋" w:cs="仿宋"/>
          <w:color w:val="auto"/>
          <w:sz w:val="30"/>
          <w:szCs w:val="30"/>
          <w:lang w:val="en-US" w:eastAsia="zh-CN"/>
        </w:rPr>
        <w:t>经第五次会员代表大会表决通过，自发布之日起实施。</w:t>
      </w:r>
    </w:p>
    <w:p>
      <w:pPr>
        <w:ind w:firstLine="600"/>
        <w:rPr>
          <w:rFonts w:hint="eastAsia" w:ascii="仿宋" w:hAnsi="仿宋" w:eastAsia="仿宋" w:cs="仿宋"/>
          <w:color w:val="auto"/>
          <w:sz w:val="30"/>
          <w:szCs w:val="30"/>
        </w:rPr>
      </w:pPr>
      <w:r>
        <w:rPr>
          <w:rFonts w:hint="eastAsia" w:ascii="仿宋" w:hAnsi="仿宋" w:eastAsia="仿宋" w:cs="仿宋"/>
          <w:color w:val="auto"/>
          <w:sz w:val="30"/>
          <w:szCs w:val="30"/>
        </w:rPr>
        <w:t>　　</w:t>
      </w:r>
    </w:p>
    <w:p>
      <w:pPr>
        <w:rPr>
          <w:rFonts w:hint="eastAsia" w:ascii="仿宋" w:hAnsi="仿宋" w:eastAsia="仿宋" w:cs="Arial"/>
          <w:color w:val="auto"/>
          <w:kern w:val="0"/>
          <w:sz w:val="32"/>
          <w:szCs w:val="32"/>
          <w:shd w:val="clear" w:color="auto" w:fill="FFFFFF"/>
          <w:lang w:val="en-US" w:eastAsia="zh-CN"/>
        </w:rPr>
      </w:pPr>
      <w:r>
        <w:rPr>
          <w:rFonts w:hint="eastAsia" w:ascii="仿宋" w:hAnsi="仿宋" w:eastAsia="仿宋" w:cs="仿宋"/>
          <w:color w:val="auto"/>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C4E0F"/>
    <w:multiLevelType w:val="singleLevel"/>
    <w:tmpl w:val="CC2C4E0F"/>
    <w:lvl w:ilvl="0" w:tentative="0">
      <w:start w:val="1"/>
      <w:numFmt w:val="decimal"/>
      <w:lvlText w:val="%1."/>
      <w:lvlJc w:val="left"/>
      <w:pPr>
        <w:tabs>
          <w:tab w:val="left" w:pos="312"/>
        </w:tabs>
      </w:pPr>
    </w:lvl>
  </w:abstractNum>
  <w:abstractNum w:abstractNumId="1">
    <w:nsid w:val="EED117C9"/>
    <w:multiLevelType w:val="singleLevel"/>
    <w:tmpl w:val="EED117C9"/>
    <w:lvl w:ilvl="0" w:tentative="0">
      <w:start w:val="1"/>
      <w:numFmt w:val="chineseCounting"/>
      <w:suff w:val="nothing"/>
      <w:lvlText w:val="%1、"/>
      <w:lvlJc w:val="left"/>
      <w:rPr>
        <w:rFonts w:hint="eastAsia"/>
      </w:rPr>
    </w:lvl>
  </w:abstractNum>
  <w:abstractNum w:abstractNumId="2">
    <w:nsid w:val="04395C70"/>
    <w:multiLevelType w:val="singleLevel"/>
    <w:tmpl w:val="04395C70"/>
    <w:lvl w:ilvl="0" w:tentative="0">
      <w:start w:val="1"/>
      <w:numFmt w:val="decimal"/>
      <w:lvlText w:val="%1."/>
      <w:lvlJc w:val="left"/>
      <w:pPr>
        <w:tabs>
          <w:tab w:val="left" w:pos="312"/>
        </w:tabs>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710" w:firstLine="0"/>
      </w:pPr>
      <w:rPr>
        <w:rFonts w:hint="eastAsia" w:ascii="黑体" w:hAnsi="Times New Roman" w:eastAsia="黑体"/>
        <w:b w:val="0"/>
        <w:i w:val="0"/>
        <w:sz w:val="21"/>
      </w:rPr>
    </w:lvl>
    <w:lvl w:ilvl="3" w:tentative="0">
      <w:start w:val="1"/>
      <w:numFmt w:val="decimal"/>
      <w:pStyle w:val="11"/>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D374B84"/>
    <w:multiLevelType w:val="singleLevel"/>
    <w:tmpl w:val="4D374B84"/>
    <w:lvl w:ilvl="0" w:tentative="0">
      <w:start w:val="1"/>
      <w:numFmt w:val="chineseCounting"/>
      <w:suff w:val="space"/>
      <w:lvlText w:val="第%1条"/>
      <w:lvlJc w:val="left"/>
      <w:pPr>
        <w:ind w:left="-390"/>
      </w:pPr>
      <w:rPr>
        <w:rFonts w:hint="eastAsia"/>
      </w:rPr>
    </w:lvl>
  </w:abstractNum>
  <w:abstractNum w:abstractNumId="5">
    <w:nsid w:val="512C4C2B"/>
    <w:multiLevelType w:val="singleLevel"/>
    <w:tmpl w:val="512C4C2B"/>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000000"/>
    <w:rsid w:val="01901A69"/>
    <w:rsid w:val="05E25CA7"/>
    <w:rsid w:val="0A4D1B2E"/>
    <w:rsid w:val="0BFA7AEB"/>
    <w:rsid w:val="0E20438B"/>
    <w:rsid w:val="17FF7774"/>
    <w:rsid w:val="315823A0"/>
    <w:rsid w:val="3AEE7398"/>
    <w:rsid w:val="418D7BCD"/>
    <w:rsid w:val="461F42C3"/>
    <w:rsid w:val="556F46C4"/>
    <w:rsid w:val="5712369B"/>
    <w:rsid w:val="5CC4068E"/>
    <w:rsid w:val="6B6C1AF2"/>
    <w:rsid w:val="77673415"/>
    <w:rsid w:val="78A67C9E"/>
    <w:rsid w:val="79CE7461"/>
    <w:rsid w:val="7F067795"/>
    <w:rsid w:val="7FC7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sz w:val="32"/>
    </w:rPr>
  </w:style>
  <w:style w:type="paragraph" w:styleId="3">
    <w:name w:val="Date"/>
    <w:basedOn w:val="1"/>
    <w:next w:val="1"/>
    <w:qFormat/>
    <w:uiPriority w:val="99"/>
    <w:pPr>
      <w:ind w:left="100" w:leftChars="2500"/>
    </w:pPr>
    <w:rPr>
      <w:rFonts w:ascii="Times New Roman" w:hAnsi="Times New Roman"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列出段落1"/>
    <w:basedOn w:val="1"/>
    <w:qFormat/>
    <w:uiPriority w:val="34"/>
    <w:pPr>
      <w:ind w:firstLine="420" w:firstLineChars="200"/>
    </w:pPr>
  </w:style>
  <w:style w:type="paragraph" w:customStyle="1" w:styleId="10">
    <w:name w:val="三级无"/>
    <w:basedOn w:val="11"/>
    <w:qFormat/>
    <w:uiPriority w:val="0"/>
    <w:pPr>
      <w:spacing w:beforeLines="0" w:afterLines="0"/>
    </w:pPr>
    <w:rPr>
      <w:rFonts w:ascii="宋体" w:eastAsia="宋体"/>
    </w:rPr>
  </w:style>
  <w:style w:type="paragraph" w:customStyle="1" w:styleId="11">
    <w:name w:val="三级条标题"/>
    <w:basedOn w:val="12"/>
    <w:next w:val="1"/>
    <w:qFormat/>
    <w:uiPriority w:val="99"/>
    <w:pPr>
      <w:numPr>
        <w:ilvl w:val="3"/>
      </w:numPr>
      <w:outlineLvl w:val="4"/>
    </w:pPr>
  </w:style>
  <w:style w:type="paragraph" w:customStyle="1" w:styleId="12">
    <w:name w:val="二级条标题"/>
    <w:basedOn w:val="13"/>
    <w:next w:val="1"/>
    <w:qFormat/>
    <w:uiPriority w:val="99"/>
    <w:pPr>
      <w:numPr>
        <w:ilvl w:val="2"/>
      </w:numPr>
      <w:spacing w:before="50" w:after="50"/>
      <w:outlineLvl w:val="3"/>
    </w:pPr>
  </w:style>
  <w:style w:type="paragraph" w:customStyle="1" w:styleId="13">
    <w:name w:val="一级条标题"/>
    <w:next w:val="1"/>
    <w:qFormat/>
    <w:uiPriority w:val="99"/>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4">
    <w:name w:val="样式 正文 + 首行缩进:  2 字符"/>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9754</Words>
  <Characters>9901</Characters>
  <Lines>0</Lines>
  <Paragraphs>0</Paragraphs>
  <TotalTime>12</TotalTime>
  <ScaleCrop>false</ScaleCrop>
  <LinksUpToDate>false</LinksUpToDate>
  <CharactersWithSpaces>10702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赵德红</cp:lastModifiedBy>
  <cp:lastPrinted>2020-06-04T08:47:00Z</cp:lastPrinted>
  <dcterms:modified xsi:type="dcterms:W3CDTF">2022-09-14T00:54:54Z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E44DC605DEB54C62A4B8C81CF9653A00</vt:lpwstr>
  </property>
</Properties>
</file>